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sz w:val="44"/>
          <w:szCs w:val="44"/>
        </w:rPr>
      </w:pPr>
      <w:r>
        <w:rPr>
          <w:rFonts w:hint="eastAsia" w:ascii="方正小标宋简体" w:hAnsi="方正小标宋简体" w:eastAsia="方正小标宋简体" w:cs="方正小标宋简体"/>
          <w:sz w:val="44"/>
          <w:szCs w:val="44"/>
          <w:lang w:val="en"/>
        </w:rPr>
        <w:t>厦门市国防动员办公室行政处罚程序规定</w:t>
      </w:r>
    </w:p>
    <w:p>
      <w:pPr>
        <w:spacing w:line="560" w:lineRule="exact"/>
        <w:jc w:val="center"/>
        <w:rPr>
          <w:rFonts w:hint="eastAsia" w:ascii="楷体" w:hAnsi="楷体" w:eastAsia="楷体" w:cs="楷体"/>
          <w:sz w:val="32"/>
          <w:szCs w:val="32"/>
          <w:lang w:val="en"/>
        </w:rPr>
      </w:pPr>
      <w:r>
        <w:rPr>
          <w:rFonts w:hint="eastAsia" w:ascii="楷体" w:hAnsi="楷体" w:eastAsia="楷体" w:cs="楷体"/>
          <w:sz w:val="32"/>
          <w:szCs w:val="32"/>
        </w:rPr>
        <w:t>（征求意见稿）</w:t>
      </w:r>
    </w:p>
    <w:p>
      <w:pPr>
        <w:spacing w:line="560" w:lineRule="exact"/>
        <w:rPr>
          <w:rFonts w:ascii="仿宋_GB2312" w:hAnsi="仿宋_GB2312" w:eastAsia="仿宋_GB2312" w:cs="仿宋_GB2312"/>
          <w:sz w:val="32"/>
          <w:szCs w:val="32"/>
          <w:lang w:val="en"/>
        </w:rPr>
      </w:pPr>
    </w:p>
    <w:p>
      <w:pPr>
        <w:widowControl/>
        <w:spacing w:line="560" w:lineRule="exact"/>
        <w:ind w:left="607" w:right="607"/>
        <w:jc w:val="center"/>
        <w:rPr>
          <w:rFonts w:ascii="黑体" w:hAnsi="黑体" w:eastAsia="黑体" w:cs="黑体"/>
          <w:color w:val="333333"/>
          <w:kern w:val="0"/>
          <w:sz w:val="32"/>
          <w:szCs w:val="32"/>
        </w:rPr>
      </w:pPr>
      <w:r>
        <w:rPr>
          <w:rFonts w:hint="eastAsia" w:ascii="黑体" w:hAnsi="黑体" w:eastAsia="黑体" w:cs="黑体"/>
          <w:color w:val="000000"/>
          <w:kern w:val="0"/>
          <w:sz w:val="32"/>
          <w:szCs w:val="32"/>
        </w:rPr>
        <w:t>目 录</w:t>
      </w:r>
    </w:p>
    <w:p>
      <w:pPr>
        <w:widowControl/>
        <w:spacing w:line="560" w:lineRule="exact"/>
        <w:ind w:firstLine="304"/>
        <w:jc w:val="left"/>
        <w:rPr>
          <w:rFonts w:hint="eastAsia" w:ascii="仿宋" w:hAnsi="仿宋" w:eastAsia="仿宋" w:cs="仿宋"/>
          <w:color w:val="333333"/>
          <w:kern w:val="0"/>
          <w:sz w:val="32"/>
          <w:szCs w:val="32"/>
        </w:rPr>
      </w:pPr>
      <w:r>
        <w:rPr>
          <w:rFonts w:hint="eastAsia" w:ascii="仿宋" w:hAnsi="仿宋" w:eastAsia="仿宋" w:cs="仿宋"/>
          <w:color w:val="000000"/>
          <w:kern w:val="0"/>
          <w:sz w:val="32"/>
          <w:szCs w:val="32"/>
        </w:rPr>
        <w:t>第一章</w:t>
      </w:r>
      <w:r>
        <w:rPr>
          <w:rFonts w:hint="eastAsia" w:ascii="黑体" w:hAnsi="黑体" w:eastAsia="黑体" w:cs="黑体"/>
          <w:sz w:val="32"/>
          <w:szCs w:val="32"/>
          <w:lang w:val="en"/>
        </w:rPr>
        <w:t>　</w:t>
      </w:r>
      <w:r>
        <w:rPr>
          <w:rFonts w:hint="eastAsia" w:ascii="仿宋" w:hAnsi="仿宋" w:eastAsia="仿宋" w:cs="仿宋"/>
          <w:color w:val="000000"/>
          <w:kern w:val="0"/>
          <w:sz w:val="32"/>
          <w:szCs w:val="32"/>
        </w:rPr>
        <w:t>总  则</w:t>
      </w:r>
    </w:p>
    <w:p>
      <w:pPr>
        <w:widowControl/>
        <w:spacing w:line="560" w:lineRule="exact"/>
        <w:ind w:firstLine="304"/>
        <w:jc w:val="left"/>
        <w:rPr>
          <w:rFonts w:hint="eastAsia" w:ascii="仿宋" w:hAnsi="仿宋" w:eastAsia="仿宋" w:cs="仿宋"/>
          <w:color w:val="333333"/>
          <w:kern w:val="0"/>
          <w:sz w:val="32"/>
          <w:szCs w:val="32"/>
        </w:rPr>
      </w:pPr>
      <w:r>
        <w:rPr>
          <w:rFonts w:hint="eastAsia" w:ascii="仿宋" w:hAnsi="仿宋" w:eastAsia="仿宋" w:cs="仿宋"/>
          <w:color w:val="000000"/>
          <w:kern w:val="0"/>
          <w:sz w:val="32"/>
          <w:szCs w:val="32"/>
        </w:rPr>
        <w:t>第二章</w:t>
      </w:r>
      <w:r>
        <w:rPr>
          <w:rFonts w:hint="eastAsia" w:ascii="黑体" w:hAnsi="黑体" w:eastAsia="黑体" w:cs="黑体"/>
          <w:sz w:val="32"/>
          <w:szCs w:val="32"/>
          <w:lang w:val="en"/>
        </w:rPr>
        <w:t>　</w:t>
      </w:r>
      <w:r>
        <w:rPr>
          <w:rFonts w:hint="eastAsia" w:ascii="仿宋" w:hAnsi="仿宋" w:eastAsia="仿宋" w:cs="仿宋"/>
          <w:sz w:val="32"/>
          <w:szCs w:val="32"/>
        </w:rPr>
        <w:t>管辖与受理</w:t>
      </w:r>
    </w:p>
    <w:p>
      <w:pPr>
        <w:widowControl/>
        <w:spacing w:line="560" w:lineRule="exact"/>
        <w:ind w:firstLine="304"/>
        <w:jc w:val="left"/>
        <w:rPr>
          <w:rFonts w:hint="eastAsia" w:ascii="仿宋" w:hAnsi="仿宋" w:eastAsia="仿宋" w:cs="仿宋"/>
          <w:sz w:val="32"/>
          <w:szCs w:val="32"/>
        </w:rPr>
      </w:pPr>
      <w:r>
        <w:rPr>
          <w:rFonts w:hint="eastAsia" w:ascii="仿宋" w:hAnsi="仿宋" w:eastAsia="仿宋" w:cs="仿宋"/>
          <w:color w:val="000000"/>
          <w:kern w:val="0"/>
          <w:sz w:val="32"/>
          <w:szCs w:val="32"/>
        </w:rPr>
        <w:t>第三章</w:t>
      </w:r>
      <w:r>
        <w:rPr>
          <w:rFonts w:hint="eastAsia" w:ascii="黑体" w:hAnsi="黑体" w:eastAsia="黑体" w:cs="黑体"/>
          <w:sz w:val="32"/>
          <w:szCs w:val="32"/>
          <w:lang w:val="en"/>
        </w:rPr>
        <w:t>　</w:t>
      </w:r>
      <w:r>
        <w:rPr>
          <w:rFonts w:hint="eastAsia" w:ascii="仿宋" w:hAnsi="仿宋" w:eastAsia="仿宋" w:cs="仿宋"/>
          <w:sz w:val="32"/>
          <w:szCs w:val="32"/>
        </w:rPr>
        <w:t>简易程序</w:t>
      </w:r>
    </w:p>
    <w:p>
      <w:pPr>
        <w:widowControl/>
        <w:spacing w:line="560" w:lineRule="exact"/>
        <w:ind w:firstLine="304"/>
        <w:jc w:val="left"/>
        <w:rPr>
          <w:rFonts w:hint="eastAsia" w:ascii="仿宋" w:hAnsi="仿宋" w:eastAsia="仿宋" w:cs="仿宋"/>
          <w:color w:val="333333"/>
          <w:kern w:val="0"/>
          <w:sz w:val="32"/>
          <w:szCs w:val="32"/>
        </w:rPr>
      </w:pPr>
      <w:r>
        <w:rPr>
          <w:rFonts w:hint="eastAsia" w:ascii="仿宋" w:hAnsi="仿宋" w:eastAsia="仿宋" w:cs="仿宋"/>
          <w:color w:val="000000"/>
          <w:kern w:val="0"/>
          <w:sz w:val="32"/>
          <w:szCs w:val="32"/>
        </w:rPr>
        <w:t>第四章</w:t>
      </w:r>
      <w:r>
        <w:rPr>
          <w:rFonts w:hint="eastAsia" w:ascii="宋体" w:hAnsi="宋体" w:eastAsia="仿宋_GB2312" w:cs="宋体"/>
          <w:color w:val="000000"/>
          <w:kern w:val="0"/>
          <w:sz w:val="32"/>
          <w:szCs w:val="32"/>
        </w:rPr>
        <w:t> </w:t>
      </w:r>
      <w:r>
        <w:rPr>
          <w:rFonts w:hint="eastAsia" w:ascii="仿宋" w:hAnsi="仿宋" w:eastAsia="仿宋" w:cs="仿宋"/>
          <w:sz w:val="32"/>
          <w:szCs w:val="32"/>
        </w:rPr>
        <w:t>一般程序</w:t>
      </w:r>
    </w:p>
    <w:p>
      <w:pPr>
        <w:widowControl/>
        <w:spacing w:line="560" w:lineRule="exact"/>
        <w:ind w:firstLine="304"/>
        <w:jc w:val="left"/>
        <w:rPr>
          <w:rFonts w:hint="eastAsia" w:ascii="仿宋" w:hAnsi="仿宋" w:eastAsia="仿宋" w:cs="仿宋"/>
          <w:color w:val="333333"/>
          <w:kern w:val="0"/>
          <w:sz w:val="32"/>
          <w:szCs w:val="32"/>
        </w:rPr>
      </w:pPr>
      <w:r>
        <w:rPr>
          <w:rFonts w:hint="eastAsia" w:ascii="仿宋" w:hAnsi="仿宋" w:eastAsia="仿宋" w:cs="仿宋"/>
          <w:color w:val="000000"/>
          <w:kern w:val="0"/>
          <w:sz w:val="32"/>
          <w:szCs w:val="32"/>
        </w:rPr>
        <w:t>第五章</w:t>
      </w:r>
      <w:r>
        <w:rPr>
          <w:rFonts w:hint="eastAsia" w:ascii="宋体" w:hAnsi="宋体" w:eastAsia="仿宋_GB2312" w:cs="宋体"/>
          <w:color w:val="000000"/>
          <w:kern w:val="0"/>
          <w:sz w:val="32"/>
          <w:szCs w:val="32"/>
        </w:rPr>
        <w:t> </w:t>
      </w:r>
      <w:r>
        <w:rPr>
          <w:rFonts w:hint="eastAsia" w:ascii="仿宋" w:hAnsi="仿宋" w:eastAsia="仿宋" w:cs="仿宋"/>
          <w:sz w:val="32"/>
          <w:szCs w:val="32"/>
        </w:rPr>
        <w:t>执行与结案处理</w:t>
      </w:r>
    </w:p>
    <w:p>
      <w:pPr>
        <w:widowControl/>
        <w:spacing w:line="560" w:lineRule="exact"/>
        <w:ind w:firstLine="304"/>
        <w:jc w:val="left"/>
        <w:rPr>
          <w:rFonts w:hint="eastAsia" w:ascii="仿宋" w:hAnsi="仿宋" w:eastAsia="仿宋" w:cs="仿宋"/>
          <w:sz w:val="32"/>
          <w:szCs w:val="32"/>
        </w:rPr>
      </w:pPr>
      <w:r>
        <w:rPr>
          <w:rFonts w:hint="eastAsia" w:ascii="仿宋" w:hAnsi="仿宋" w:eastAsia="仿宋" w:cs="仿宋"/>
          <w:color w:val="000000"/>
          <w:kern w:val="0"/>
          <w:sz w:val="32"/>
          <w:szCs w:val="32"/>
        </w:rPr>
        <w:t>第六章</w:t>
      </w:r>
      <w:r>
        <w:rPr>
          <w:rFonts w:hint="eastAsia" w:ascii="宋体" w:hAnsi="宋体" w:eastAsia="仿宋_GB2312" w:cs="宋体"/>
          <w:color w:val="000000"/>
          <w:kern w:val="0"/>
          <w:sz w:val="32"/>
          <w:szCs w:val="32"/>
        </w:rPr>
        <w:t> </w:t>
      </w:r>
      <w:r>
        <w:rPr>
          <w:rFonts w:hint="eastAsia" w:ascii="仿宋" w:hAnsi="仿宋" w:eastAsia="仿宋" w:cs="仿宋"/>
          <w:sz w:val="32"/>
          <w:szCs w:val="32"/>
        </w:rPr>
        <w:t>立卷与归档</w:t>
      </w:r>
    </w:p>
    <w:p>
      <w:pPr>
        <w:widowControl/>
        <w:spacing w:line="560" w:lineRule="exact"/>
        <w:ind w:firstLine="304"/>
        <w:jc w:val="left"/>
        <w:rPr>
          <w:rFonts w:hint="eastAsia" w:ascii="仿宋" w:hAnsi="仿宋" w:eastAsia="仿宋" w:cs="仿宋"/>
          <w:color w:val="333333"/>
          <w:kern w:val="0"/>
          <w:sz w:val="32"/>
          <w:szCs w:val="32"/>
        </w:rPr>
      </w:pPr>
      <w:r>
        <w:rPr>
          <w:rFonts w:hint="eastAsia" w:ascii="仿宋" w:hAnsi="仿宋" w:eastAsia="仿宋" w:cs="仿宋"/>
          <w:color w:val="000000"/>
          <w:kern w:val="0"/>
          <w:sz w:val="32"/>
          <w:szCs w:val="32"/>
        </w:rPr>
        <w:t>第七章</w:t>
      </w:r>
      <w:r>
        <w:rPr>
          <w:rFonts w:hint="eastAsia" w:ascii="宋体" w:hAnsi="宋体" w:eastAsia="仿宋_GB2312" w:cs="宋体"/>
          <w:color w:val="000000"/>
          <w:kern w:val="0"/>
          <w:sz w:val="32"/>
          <w:szCs w:val="32"/>
        </w:rPr>
        <w:t> </w:t>
      </w:r>
      <w:r>
        <w:rPr>
          <w:rFonts w:hint="eastAsia" w:ascii="仿宋" w:hAnsi="仿宋" w:eastAsia="仿宋" w:cs="仿宋"/>
          <w:sz w:val="32"/>
          <w:szCs w:val="32"/>
        </w:rPr>
        <w:t>附   则</w:t>
      </w:r>
    </w:p>
    <w:p>
      <w:pPr>
        <w:spacing w:line="560" w:lineRule="exact"/>
        <w:rPr>
          <w:rFonts w:ascii="仿宋_GB2312" w:eastAsia="仿宋_GB2312"/>
          <w:sz w:val="32"/>
          <w:szCs w:val="32"/>
        </w:rPr>
      </w:pPr>
    </w:p>
    <w:p>
      <w:pPr>
        <w:numPr>
          <w:ilvl w:val="0"/>
          <w:numId w:val="0"/>
        </w:numPr>
        <w:spacing w:line="560" w:lineRule="exact"/>
        <w:ind w:firstLine="640" w:firstLineChars="200"/>
        <w:jc w:val="center"/>
        <w:rPr>
          <w:rFonts w:ascii="黑体" w:hAnsi="黑体" w:eastAsia="黑体"/>
          <w:sz w:val="32"/>
          <w:szCs w:val="32"/>
        </w:rPr>
      </w:pPr>
      <w:r>
        <w:rPr>
          <w:rFonts w:hint="eastAsia" w:ascii="黑体" w:hAnsi="黑体" w:eastAsia="黑体" w:cs="黑体"/>
          <w:sz w:val="32"/>
          <w:szCs w:val="32"/>
          <w:lang w:val="en-US" w:eastAsia="zh-CN"/>
        </w:rPr>
        <w:t>第一章</w:t>
      </w:r>
      <w:r>
        <w:rPr>
          <w:rFonts w:hint="eastAsia" w:ascii="黑体" w:hAnsi="黑体" w:eastAsia="黑体" w:cs="黑体"/>
          <w:sz w:val="32"/>
          <w:szCs w:val="32"/>
          <w:lang w:val="en"/>
        </w:rPr>
        <w:t>　总  则</w:t>
      </w:r>
    </w:p>
    <w:p>
      <w:pPr>
        <w:spacing w:line="560" w:lineRule="exact"/>
        <w:ind w:firstLine="640" w:firstLineChars="200"/>
        <w:rPr>
          <w:rFonts w:ascii="仿宋_GB2312" w:eastAsia="仿宋_GB2312"/>
          <w:sz w:val="32"/>
          <w:szCs w:val="32"/>
        </w:rPr>
      </w:pPr>
      <w:r>
        <w:rPr>
          <w:rFonts w:hint="eastAsia" w:ascii="黑体" w:hAnsi="黑体" w:eastAsia="黑体" w:cs="黑体"/>
          <w:bCs/>
          <w:sz w:val="32"/>
          <w:szCs w:val="32"/>
        </w:rPr>
        <w:t>第一条</w:t>
      </w:r>
      <w:r>
        <w:rPr>
          <w:rFonts w:hint="eastAsia" w:ascii="宋体" w:hAnsi="宋体" w:eastAsia="仿宋_GB2312" w:cs="宋体"/>
          <w:color w:val="000000"/>
          <w:kern w:val="0"/>
          <w:sz w:val="32"/>
          <w:szCs w:val="32"/>
        </w:rPr>
        <w:t> </w:t>
      </w:r>
      <w:r>
        <w:rPr>
          <w:rFonts w:hint="eastAsia" w:ascii="仿宋" w:hAnsi="仿宋" w:eastAsia="仿宋" w:cs="仿宋"/>
          <w:sz w:val="32"/>
          <w:szCs w:val="32"/>
        </w:rPr>
        <w:t>为规范厦门市国防动员办公室（下文起简称“市国动办”）行政处罚案件的办理程序，提高行政执法办案的效率和质量，保护公民、法人和其他组织的合法权益，根据《中华人民共和国行政处罚法》《中华人民共和国行政强制法》《</w:t>
      </w:r>
      <w:r>
        <w:rPr>
          <w:rFonts w:hint="eastAsia" w:ascii="仿宋" w:hAnsi="仿宋" w:eastAsia="仿宋" w:cs="仿宋"/>
          <w:kern w:val="0"/>
          <w:sz w:val="32"/>
          <w:szCs w:val="32"/>
        </w:rPr>
        <w:t>厦门市行政处罚听证程序暂行办法》</w:t>
      </w:r>
      <w:r>
        <w:rPr>
          <w:rFonts w:hint="eastAsia" w:ascii="仿宋" w:hAnsi="仿宋" w:eastAsia="仿宋" w:cs="仿宋"/>
          <w:sz w:val="32"/>
          <w:szCs w:val="32"/>
        </w:rPr>
        <w:t>《厦门市行政执法档案管理规定》和国家、省、市有关法律、法规的规定，结合市国动办行政执法工作实际，制定本规定。</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第二条</w:t>
      </w:r>
      <w:r>
        <w:rPr>
          <w:rFonts w:hint="eastAsia" w:ascii="宋体" w:hAnsi="宋体" w:eastAsia="仿宋_GB2312" w:cs="宋体"/>
          <w:color w:val="000000"/>
          <w:kern w:val="0"/>
          <w:sz w:val="32"/>
          <w:szCs w:val="32"/>
        </w:rPr>
        <w:t> </w:t>
      </w:r>
      <w:r>
        <w:rPr>
          <w:rFonts w:hint="eastAsia" w:ascii="仿宋" w:hAnsi="仿宋" w:eastAsia="仿宋" w:cs="仿宋"/>
          <w:sz w:val="32"/>
          <w:szCs w:val="32"/>
        </w:rPr>
        <w:t>市国动办和区国防动员办公室（下文起简称“区国动办”）实施行政处罚，应遵守《行政处罚法》及其相关配套规定和本规程。</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第三条</w:t>
      </w:r>
      <w:r>
        <w:rPr>
          <w:rFonts w:hint="eastAsia" w:ascii="仿宋_GB2312" w:eastAsia="仿宋_GB2312"/>
          <w:sz w:val="32"/>
          <w:szCs w:val="32"/>
        </w:rPr>
        <w:t>　</w:t>
      </w:r>
      <w:r>
        <w:rPr>
          <w:rFonts w:hint="eastAsia" w:ascii="仿宋" w:hAnsi="仿宋" w:eastAsia="仿宋" w:cs="仿宋"/>
          <w:sz w:val="32"/>
          <w:szCs w:val="32"/>
        </w:rPr>
        <w:t>实施行政处罚应当事实清楚，证据确凿，适用法律、法规、规章正确，坚持公正、公开和处罚与教育相结合的原则。</w:t>
      </w:r>
    </w:p>
    <w:p>
      <w:pPr>
        <w:spacing w:line="560" w:lineRule="exact"/>
        <w:ind w:firstLine="640" w:firstLineChars="200"/>
        <w:rPr>
          <w:rFonts w:ascii="仿宋_GB2312" w:eastAsia="仿宋_GB2312"/>
          <w:sz w:val="32"/>
          <w:szCs w:val="32"/>
        </w:rPr>
      </w:pPr>
      <w:r>
        <w:rPr>
          <w:rFonts w:hint="eastAsia" w:ascii="黑体" w:hAnsi="黑体" w:eastAsia="黑体" w:cs="黑体"/>
          <w:bCs/>
          <w:sz w:val="32"/>
          <w:szCs w:val="32"/>
        </w:rPr>
        <w:t>第四条</w:t>
      </w:r>
      <w:r>
        <w:rPr>
          <w:rFonts w:hint="eastAsia" w:ascii="宋体" w:hAnsi="宋体" w:eastAsia="仿宋_GB2312" w:cs="宋体"/>
          <w:color w:val="000000"/>
          <w:kern w:val="0"/>
          <w:sz w:val="32"/>
          <w:szCs w:val="32"/>
        </w:rPr>
        <w:t> </w:t>
      </w:r>
      <w:r>
        <w:rPr>
          <w:rFonts w:hint="eastAsia" w:ascii="仿宋" w:hAnsi="仿宋" w:eastAsia="仿宋" w:cs="仿宋"/>
          <w:sz w:val="32"/>
          <w:szCs w:val="32"/>
        </w:rPr>
        <w:t>执法人员必须取得福建省人民政府制发的福建省行政执法证件或厦门市人民政府制发的厦门市行政执法证件（以下简称执法证）,执法人员实行持证上岗制度。执法人员开展现场检查、调查取证、当场作出处罚决定等活动时不得少于两人，应向当事人或有关人员出示执法证，并应当遵守本规定第九条有关回避的规定。</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执法人员进行现场检查、随机抽查、调查取证、证据保全、查封、扣押、听证、行政强制、送达等的行政执法行为，应使用文字记录或摄影、摄像或执法记录仪等方式记录。</w:t>
      </w:r>
    </w:p>
    <w:p>
      <w:pPr>
        <w:spacing w:line="560" w:lineRule="exact"/>
        <w:ind w:firstLine="640" w:firstLineChars="200"/>
        <w:rPr>
          <w:rFonts w:ascii="仿宋_GB2312" w:eastAsia="仿宋_GB2312"/>
          <w:sz w:val="32"/>
          <w:szCs w:val="32"/>
        </w:rPr>
      </w:pPr>
    </w:p>
    <w:p>
      <w:pPr>
        <w:spacing w:line="560" w:lineRule="exact"/>
        <w:ind w:firstLine="0" w:firstLineChars="0"/>
        <w:jc w:val="center"/>
        <w:rPr>
          <w:rFonts w:ascii="仿宋_GB2312" w:hAnsi="仿宋_GB2312" w:eastAsia="仿宋_GB2312" w:cs="仿宋_GB2312"/>
          <w:sz w:val="32"/>
          <w:szCs w:val="32"/>
          <w:lang w:val="en"/>
        </w:rPr>
      </w:pPr>
      <w:r>
        <w:rPr>
          <w:rFonts w:hint="eastAsia" w:ascii="黑体" w:hAnsi="黑体" w:eastAsia="黑体" w:cs="黑体"/>
          <w:sz w:val="32"/>
          <w:szCs w:val="32"/>
          <w:lang w:val="en"/>
        </w:rPr>
        <w:t>第二章　管辖与受理</w:t>
      </w:r>
    </w:p>
    <w:p>
      <w:pPr>
        <w:spacing w:line="560" w:lineRule="exact"/>
        <w:ind w:firstLine="640" w:firstLineChars="200"/>
        <w:rPr>
          <w:rFonts w:ascii="仿宋_GB2312" w:hAnsi="仿宋_GB2312" w:eastAsia="仿宋_GB2312" w:cs="仿宋_GB2312"/>
          <w:sz w:val="32"/>
          <w:szCs w:val="32"/>
          <w:lang w:val="en"/>
        </w:rPr>
      </w:pPr>
      <w:r>
        <w:rPr>
          <w:rFonts w:hint="eastAsia" w:ascii="黑体" w:hAnsi="黑体" w:eastAsia="黑体" w:cs="黑体"/>
          <w:bCs/>
          <w:sz w:val="32"/>
          <w:szCs w:val="32"/>
          <w:lang w:val="en"/>
        </w:rPr>
        <w:t>第</w:t>
      </w:r>
      <w:r>
        <w:rPr>
          <w:rFonts w:hint="eastAsia" w:ascii="黑体" w:hAnsi="黑体" w:eastAsia="黑体" w:cs="黑体"/>
          <w:bCs/>
          <w:sz w:val="32"/>
          <w:szCs w:val="32"/>
          <w:lang w:val="en-US" w:eastAsia="zh-CN"/>
        </w:rPr>
        <w:t>五</w:t>
      </w:r>
      <w:r>
        <w:rPr>
          <w:rFonts w:hint="eastAsia" w:ascii="黑体" w:hAnsi="黑体" w:eastAsia="黑体" w:cs="黑体"/>
          <w:bCs/>
          <w:sz w:val="32"/>
          <w:szCs w:val="32"/>
          <w:lang w:val="en"/>
        </w:rPr>
        <w:t>条</w:t>
      </w:r>
      <w:r>
        <w:rPr>
          <w:rFonts w:hint="eastAsia" w:ascii="仿宋_GB2312" w:hAnsi="仿宋_GB2312" w:eastAsia="仿宋_GB2312" w:cs="仿宋_GB2312"/>
          <w:sz w:val="32"/>
          <w:szCs w:val="32"/>
          <w:lang w:val="en"/>
        </w:rPr>
        <w:t>　</w:t>
      </w:r>
      <w:r>
        <w:rPr>
          <w:rFonts w:hint="eastAsia" w:ascii="仿宋" w:hAnsi="仿宋" w:eastAsia="仿宋" w:cs="仿宋"/>
          <w:sz w:val="32"/>
          <w:szCs w:val="32"/>
          <w:lang w:val="en"/>
        </w:rPr>
        <w:t>市和区国动办依据职权范围，负责查处本行政区域管辖范围内的违反有关法律、法规、规章的案件。</w:t>
      </w:r>
    </w:p>
    <w:p>
      <w:pPr>
        <w:spacing w:line="560" w:lineRule="exact"/>
        <w:ind w:firstLine="640" w:firstLineChars="200"/>
        <w:rPr>
          <w:rFonts w:hint="eastAsia" w:ascii="仿宋" w:hAnsi="仿宋" w:eastAsia="仿宋" w:cs="仿宋"/>
          <w:sz w:val="32"/>
          <w:szCs w:val="32"/>
          <w:lang w:val="en"/>
        </w:rPr>
      </w:pPr>
      <w:r>
        <w:rPr>
          <w:rFonts w:hint="eastAsia" w:ascii="黑体" w:hAnsi="黑体" w:eastAsia="黑体" w:cs="黑体"/>
          <w:bCs/>
          <w:sz w:val="32"/>
          <w:szCs w:val="32"/>
          <w:lang w:val="en"/>
        </w:rPr>
        <w:t>第</w:t>
      </w:r>
      <w:r>
        <w:rPr>
          <w:rFonts w:hint="eastAsia" w:ascii="黑体" w:hAnsi="黑体" w:eastAsia="黑体" w:cs="黑体"/>
          <w:bCs/>
          <w:sz w:val="32"/>
          <w:szCs w:val="32"/>
          <w:lang w:val="en-US" w:eastAsia="zh-CN"/>
        </w:rPr>
        <w:t>六</w:t>
      </w:r>
      <w:r>
        <w:rPr>
          <w:rFonts w:hint="eastAsia" w:ascii="黑体" w:hAnsi="黑体" w:eastAsia="黑体" w:cs="黑体"/>
          <w:bCs/>
          <w:sz w:val="32"/>
          <w:szCs w:val="32"/>
          <w:lang w:val="en"/>
        </w:rPr>
        <w:t>条</w:t>
      </w:r>
      <w:r>
        <w:rPr>
          <w:rFonts w:hint="eastAsia" w:ascii="仿宋_GB2312" w:hAnsi="仿宋_GB2312" w:eastAsia="仿宋_GB2312" w:cs="仿宋_GB2312"/>
          <w:sz w:val="32"/>
          <w:szCs w:val="32"/>
          <w:lang w:val="en"/>
        </w:rPr>
        <w:t>　</w:t>
      </w:r>
      <w:r>
        <w:rPr>
          <w:rFonts w:hint="eastAsia" w:ascii="仿宋" w:hAnsi="仿宋" w:eastAsia="仿宋" w:cs="仿宋"/>
          <w:sz w:val="32"/>
          <w:szCs w:val="32"/>
          <w:lang w:val="en"/>
        </w:rPr>
        <w:t>两个及两个以上区国动办，在管辖权发生争议时，应当协商解决，协商不成的，报请市国动办指定管辖；也可以直接由市国动办指定管辖。市国动办在接到有关解决管辖争议的请示后，应当在10日内作出管辖裁定。</w:t>
      </w:r>
    </w:p>
    <w:p>
      <w:pPr>
        <w:spacing w:line="560" w:lineRule="exact"/>
        <w:ind w:firstLine="640" w:firstLineChars="200"/>
        <w:rPr>
          <w:rFonts w:hint="eastAsia" w:ascii="仿宋" w:hAnsi="仿宋" w:eastAsia="仿宋" w:cs="仿宋"/>
          <w:sz w:val="32"/>
          <w:szCs w:val="32"/>
          <w:lang w:val="en"/>
        </w:rPr>
      </w:pPr>
      <w:r>
        <w:rPr>
          <w:rFonts w:hint="eastAsia" w:ascii="黑体" w:hAnsi="黑体" w:eastAsia="黑体" w:cs="黑体"/>
          <w:bCs/>
          <w:sz w:val="32"/>
          <w:szCs w:val="32"/>
          <w:lang w:val="en"/>
        </w:rPr>
        <w:t>第</w:t>
      </w:r>
      <w:r>
        <w:rPr>
          <w:rFonts w:hint="eastAsia" w:ascii="黑体" w:hAnsi="黑体" w:eastAsia="黑体" w:cs="黑体"/>
          <w:bCs/>
          <w:sz w:val="32"/>
          <w:szCs w:val="32"/>
          <w:lang w:val="en-US" w:eastAsia="zh-CN"/>
        </w:rPr>
        <w:t>七</w:t>
      </w:r>
      <w:r>
        <w:rPr>
          <w:rFonts w:hint="eastAsia" w:ascii="黑体" w:hAnsi="黑体" w:eastAsia="黑体" w:cs="黑体"/>
          <w:bCs/>
          <w:sz w:val="32"/>
          <w:szCs w:val="32"/>
          <w:lang w:val="en"/>
        </w:rPr>
        <w:t>条</w:t>
      </w:r>
      <w:r>
        <w:rPr>
          <w:rFonts w:hint="eastAsia" w:ascii="仿宋_GB2312" w:hAnsi="仿宋_GB2312" w:eastAsia="仿宋_GB2312" w:cs="仿宋_GB2312"/>
          <w:sz w:val="32"/>
          <w:szCs w:val="32"/>
          <w:lang w:val="en"/>
        </w:rPr>
        <w:t>　</w:t>
      </w:r>
      <w:r>
        <w:rPr>
          <w:rFonts w:hint="eastAsia" w:ascii="仿宋" w:hAnsi="仿宋" w:eastAsia="仿宋" w:cs="仿宋"/>
          <w:sz w:val="32"/>
          <w:szCs w:val="32"/>
          <w:lang w:val="en"/>
        </w:rPr>
        <w:t>市和区国动办对实地检查、社会举报、上级行政机关交办、有关部门移交等发现的违法案件应当及时受理。</w:t>
      </w:r>
    </w:p>
    <w:p>
      <w:pPr>
        <w:spacing w:line="560" w:lineRule="exact"/>
        <w:ind w:firstLine="640" w:firstLineChars="200"/>
        <w:rPr>
          <w:rFonts w:hint="eastAsia" w:ascii="仿宋" w:hAnsi="仿宋" w:eastAsia="仿宋" w:cs="仿宋"/>
          <w:sz w:val="32"/>
          <w:szCs w:val="32"/>
          <w:lang w:val="en"/>
        </w:rPr>
      </w:pPr>
      <w:r>
        <w:rPr>
          <w:rFonts w:hint="eastAsia" w:ascii="黑体" w:hAnsi="黑体" w:eastAsia="黑体" w:cs="黑体"/>
          <w:bCs/>
          <w:sz w:val="32"/>
          <w:szCs w:val="32"/>
          <w:lang w:val="en"/>
        </w:rPr>
        <w:t>第</w:t>
      </w:r>
      <w:r>
        <w:rPr>
          <w:rFonts w:hint="eastAsia" w:ascii="黑体" w:hAnsi="黑体" w:eastAsia="黑体" w:cs="黑体"/>
          <w:bCs/>
          <w:sz w:val="32"/>
          <w:szCs w:val="32"/>
          <w:lang w:val="en-US" w:eastAsia="zh-CN"/>
        </w:rPr>
        <w:t>八</w:t>
      </w:r>
      <w:r>
        <w:rPr>
          <w:rFonts w:hint="eastAsia" w:ascii="黑体" w:hAnsi="黑体" w:eastAsia="黑体" w:cs="黑体"/>
          <w:bCs/>
          <w:sz w:val="32"/>
          <w:szCs w:val="32"/>
          <w:lang w:val="en"/>
        </w:rPr>
        <w:t>条</w:t>
      </w:r>
      <w:r>
        <w:rPr>
          <w:rFonts w:hint="eastAsia" w:ascii="仿宋_GB2312" w:hAnsi="仿宋_GB2312" w:eastAsia="仿宋_GB2312" w:cs="仿宋_GB2312"/>
          <w:sz w:val="32"/>
          <w:szCs w:val="32"/>
          <w:lang w:val="en"/>
        </w:rPr>
        <w:t>　</w:t>
      </w:r>
      <w:r>
        <w:rPr>
          <w:rFonts w:hint="eastAsia" w:ascii="仿宋" w:hAnsi="仿宋" w:eastAsia="仿宋" w:cs="仿宋"/>
          <w:sz w:val="32"/>
          <w:szCs w:val="32"/>
          <w:lang w:val="en"/>
        </w:rPr>
        <w:t>行政执法人员与案件有直接利害关系或者有其他关系可能影响公正执法的，应当回避。</w:t>
      </w:r>
    </w:p>
    <w:p>
      <w:pPr>
        <w:spacing w:line="560" w:lineRule="exact"/>
        <w:ind w:firstLine="640" w:firstLineChars="200"/>
        <w:rPr>
          <w:rFonts w:hint="eastAsia" w:ascii="仿宋" w:hAnsi="仿宋" w:eastAsia="仿宋" w:cs="仿宋"/>
          <w:sz w:val="32"/>
          <w:szCs w:val="32"/>
          <w:lang w:val="en"/>
        </w:rPr>
      </w:pPr>
      <w:r>
        <w:rPr>
          <w:rFonts w:hint="eastAsia" w:ascii="仿宋" w:hAnsi="仿宋" w:eastAsia="仿宋" w:cs="仿宋"/>
          <w:sz w:val="32"/>
          <w:szCs w:val="32"/>
          <w:lang w:val="en"/>
        </w:rPr>
        <w:t>当事人认为执法人员与案件有直接利害关系或者有其他关系可能影响公正执法的，有权申请回避。</w:t>
      </w:r>
    </w:p>
    <w:p>
      <w:pPr>
        <w:spacing w:line="560" w:lineRule="exact"/>
        <w:ind w:firstLine="640" w:firstLineChars="200"/>
        <w:rPr>
          <w:rFonts w:hint="eastAsia" w:ascii="仿宋" w:hAnsi="仿宋" w:eastAsia="仿宋" w:cs="仿宋"/>
          <w:sz w:val="32"/>
          <w:szCs w:val="32"/>
          <w:lang w:val="en"/>
        </w:rPr>
      </w:pPr>
      <w:r>
        <w:rPr>
          <w:rFonts w:hint="eastAsia" w:ascii="仿宋" w:hAnsi="仿宋" w:eastAsia="仿宋" w:cs="仿宋"/>
          <w:sz w:val="32"/>
          <w:szCs w:val="32"/>
          <w:lang w:val="en"/>
        </w:rPr>
        <w:t>当事人申请执法人员回避的，行政机关应当依法审查，由行政机关负责人决定是否回避。决定作出之前，不停止调查。</w:t>
      </w:r>
    </w:p>
    <w:p>
      <w:pPr>
        <w:spacing w:line="56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p>
    <w:p>
      <w:pPr>
        <w:spacing w:line="560" w:lineRule="exact"/>
        <w:ind w:firstLine="0" w:firstLineChars="0"/>
        <w:jc w:val="center"/>
        <w:rPr>
          <w:rFonts w:ascii="黑体" w:hAnsi="黑体" w:eastAsia="黑体" w:cs="黑体"/>
          <w:sz w:val="32"/>
          <w:szCs w:val="32"/>
          <w:lang w:val="en"/>
        </w:rPr>
      </w:pPr>
      <w:r>
        <w:rPr>
          <w:rFonts w:hint="eastAsia" w:ascii="黑体" w:hAnsi="黑体" w:eastAsia="黑体" w:cs="黑体"/>
          <w:sz w:val="32"/>
          <w:szCs w:val="32"/>
          <w:lang w:val="en"/>
        </w:rPr>
        <w:t>第三章　简易程序</w:t>
      </w:r>
    </w:p>
    <w:p>
      <w:pPr>
        <w:spacing w:line="560" w:lineRule="exact"/>
        <w:ind w:firstLine="640" w:firstLineChars="200"/>
        <w:rPr>
          <w:rFonts w:hint="eastAsia" w:ascii="仿宋" w:hAnsi="仿宋" w:eastAsia="仿宋" w:cs="仿宋"/>
          <w:sz w:val="32"/>
          <w:szCs w:val="32"/>
          <w:lang w:val="en"/>
        </w:rPr>
      </w:pPr>
      <w:r>
        <w:rPr>
          <w:rFonts w:hint="eastAsia" w:ascii="黑体" w:hAnsi="黑体" w:eastAsia="黑体" w:cs="黑体"/>
          <w:bCs/>
          <w:sz w:val="32"/>
          <w:szCs w:val="32"/>
          <w:lang w:val="en"/>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lang w:val="en"/>
        </w:rPr>
        <w:t>条</w:t>
      </w:r>
      <w:r>
        <w:rPr>
          <w:rFonts w:hint="eastAsia" w:ascii="仿宋_GB2312" w:hAnsi="仿宋_GB2312" w:eastAsia="仿宋_GB2312" w:cs="仿宋_GB2312"/>
          <w:sz w:val="32"/>
          <w:szCs w:val="32"/>
          <w:lang w:val="en"/>
        </w:rPr>
        <w:t>　</w:t>
      </w:r>
      <w:r>
        <w:rPr>
          <w:rFonts w:hint="eastAsia" w:ascii="仿宋" w:hAnsi="仿宋" w:eastAsia="仿宋" w:cs="仿宋"/>
          <w:sz w:val="32"/>
          <w:szCs w:val="32"/>
          <w:lang w:val="en"/>
        </w:rPr>
        <w:t>对于违法事实确凿并有法定依据，对公民处以200元以下、对法人或者其他组织处以3000元以下罚款或者警告的行政处罚，可以适用简易程序当场作出行政处罚决定。法律另有规定的，从其规定。</w:t>
      </w:r>
    </w:p>
    <w:p>
      <w:pPr>
        <w:spacing w:line="560" w:lineRule="exact"/>
        <w:ind w:firstLine="640" w:firstLineChars="200"/>
        <w:rPr>
          <w:rFonts w:hint="eastAsia" w:ascii="仿宋" w:hAnsi="仿宋" w:eastAsia="仿宋" w:cs="仿宋"/>
          <w:sz w:val="32"/>
          <w:szCs w:val="32"/>
          <w:lang w:val="en"/>
        </w:rPr>
      </w:pPr>
      <w:r>
        <w:rPr>
          <w:rFonts w:hint="eastAsia" w:ascii="黑体" w:hAnsi="黑体" w:eastAsia="黑体" w:cs="黑体"/>
          <w:bCs/>
          <w:sz w:val="32"/>
          <w:szCs w:val="32"/>
          <w:lang w:val="en"/>
        </w:rPr>
        <w:t>第十条</w:t>
      </w:r>
      <w:r>
        <w:rPr>
          <w:rFonts w:hint="eastAsia" w:ascii="仿宋_GB2312" w:hAnsi="仿宋_GB2312" w:eastAsia="仿宋_GB2312" w:cs="仿宋_GB2312"/>
          <w:sz w:val="32"/>
          <w:szCs w:val="32"/>
          <w:lang w:val="en"/>
        </w:rPr>
        <w:t>　</w:t>
      </w:r>
      <w:r>
        <w:rPr>
          <w:rFonts w:hint="eastAsia" w:ascii="仿宋" w:hAnsi="仿宋" w:eastAsia="仿宋" w:cs="仿宋"/>
          <w:sz w:val="32"/>
          <w:szCs w:val="32"/>
          <w:lang w:val="en"/>
        </w:rPr>
        <w:t>适用简易程序当场查处违法行为，执法人员应当向当事人出示执法证件，当场查明违法事实，制作现场检查、询问笔录，收集必要的证据。</w:t>
      </w:r>
    </w:p>
    <w:p>
      <w:pPr>
        <w:spacing w:line="560" w:lineRule="exact"/>
        <w:ind w:firstLine="640" w:firstLineChars="200"/>
        <w:rPr>
          <w:rFonts w:hint="eastAsia" w:ascii="仿宋" w:hAnsi="仿宋" w:eastAsia="仿宋" w:cs="仿宋"/>
          <w:sz w:val="32"/>
          <w:szCs w:val="32"/>
          <w:lang w:val="en"/>
        </w:rPr>
      </w:pPr>
      <w:r>
        <w:rPr>
          <w:rFonts w:hint="eastAsia" w:ascii="仿宋" w:hAnsi="仿宋" w:eastAsia="仿宋" w:cs="仿宋"/>
          <w:sz w:val="32"/>
          <w:szCs w:val="32"/>
          <w:lang w:val="en"/>
        </w:rPr>
        <w:t>在给予行政处罚前，应当口头告知当事人拟作出行政处罚决定的事实、理由、依据及处罚内容，告知当事人依法享有陈述和申辩权，并当场听取当事人的陈述和申辩。</w:t>
      </w:r>
    </w:p>
    <w:p>
      <w:pPr>
        <w:spacing w:line="560" w:lineRule="exact"/>
        <w:ind w:firstLine="640" w:firstLineChars="200"/>
        <w:rPr>
          <w:rFonts w:hint="eastAsia" w:ascii="仿宋" w:hAnsi="仿宋" w:eastAsia="仿宋" w:cs="仿宋"/>
          <w:sz w:val="32"/>
          <w:szCs w:val="32"/>
          <w:lang w:val="en"/>
        </w:rPr>
      </w:pPr>
      <w:r>
        <w:rPr>
          <w:rFonts w:hint="eastAsia" w:ascii="仿宋" w:hAnsi="仿宋" w:eastAsia="仿宋" w:cs="仿宋"/>
          <w:sz w:val="32"/>
          <w:szCs w:val="32"/>
          <w:lang w:val="en"/>
        </w:rPr>
        <w:t>当事人提出的事实、理由或者证据成立的，应当采纳；不采纳的应当口头说明理由。</w:t>
      </w:r>
    </w:p>
    <w:p>
      <w:pPr>
        <w:spacing w:line="560" w:lineRule="exact"/>
        <w:ind w:firstLine="640" w:firstLineChars="200"/>
        <w:rPr>
          <w:rFonts w:hint="eastAsia" w:ascii="仿宋" w:hAnsi="仿宋" w:eastAsia="仿宋" w:cs="仿宋"/>
          <w:sz w:val="32"/>
          <w:szCs w:val="32"/>
          <w:lang w:val="en"/>
        </w:rPr>
      </w:pPr>
      <w:r>
        <w:rPr>
          <w:rFonts w:hint="eastAsia" w:ascii="黑体" w:hAnsi="黑体" w:eastAsia="黑体" w:cs="黑体"/>
          <w:bCs/>
          <w:sz w:val="32"/>
          <w:szCs w:val="32"/>
          <w:lang w:val="en" w:bidi="ar"/>
        </w:rPr>
        <w:t>第十</w:t>
      </w:r>
      <w:r>
        <w:rPr>
          <w:rFonts w:hint="eastAsia" w:ascii="黑体" w:hAnsi="黑体" w:eastAsia="黑体" w:cs="黑体"/>
          <w:bCs/>
          <w:sz w:val="32"/>
          <w:szCs w:val="32"/>
          <w:lang w:val="en-US" w:eastAsia="zh-CN" w:bidi="ar"/>
        </w:rPr>
        <w:t>一</w:t>
      </w:r>
      <w:r>
        <w:rPr>
          <w:rFonts w:hint="eastAsia" w:ascii="黑体" w:hAnsi="黑体" w:eastAsia="黑体" w:cs="黑体"/>
          <w:bCs/>
          <w:sz w:val="32"/>
          <w:szCs w:val="32"/>
          <w:lang w:val="en" w:bidi="ar"/>
        </w:rPr>
        <w:t>条</w:t>
      </w:r>
      <w:r>
        <w:rPr>
          <w:rFonts w:hint="eastAsia" w:ascii="仿宋_GB2312" w:hAnsi="仿宋_GB2312" w:eastAsia="仿宋_GB2312" w:cs="仿宋_GB2312"/>
          <w:sz w:val="32"/>
          <w:szCs w:val="32"/>
          <w:lang w:val="en"/>
        </w:rPr>
        <w:t>　</w:t>
      </w:r>
      <w:r>
        <w:rPr>
          <w:rFonts w:hint="eastAsia" w:ascii="仿宋" w:hAnsi="仿宋" w:eastAsia="仿宋" w:cs="仿宋"/>
          <w:sz w:val="32"/>
          <w:szCs w:val="32"/>
          <w:lang w:val="en"/>
        </w:rPr>
        <w:t>适用简易程序当场给予行政处罚的，应当由两名执法人员共同决定。执法人员对适用简易程序当场作出行政处罚决定的，应当向当事人出示执法证件，填写编有号码并加盖行政机关印章的《行政处罚决定书》一式两份，由执法人员、当事人签名或盖章后一份当场交付当事人，一份由所属主管部门留存。当事人拒绝签收的，应当在行政处罚决定书上注明。</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前款规定的行政处罚决定书应当载明当事人的违法行为，行政处罚的种类和依据、罚款数额、时间、地点，申请行政复议、提起行政诉讼的途径和期限以及行政机关名称，并由执法人员签名或者盖章。</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执法人员当场作出的行政处罚决定，应在3日内将当场处罚情况报所属行政机关备案。</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第四章　一般程序</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二</w:t>
      </w:r>
      <w:r>
        <w:rPr>
          <w:rFonts w:hint="eastAsia" w:ascii="黑体" w:hAnsi="黑体" w:eastAsia="黑体" w:cs="黑体"/>
          <w:bCs/>
          <w:sz w:val="32"/>
          <w:szCs w:val="32"/>
        </w:rPr>
        <w:t>条</w:t>
      </w:r>
      <w:r>
        <w:rPr>
          <w:rFonts w:hint="eastAsia" w:ascii="仿宋_GB2312" w:eastAsia="仿宋_GB2312"/>
          <w:sz w:val="32"/>
          <w:szCs w:val="32"/>
        </w:rPr>
        <w:t>　</w:t>
      </w:r>
      <w:r>
        <w:rPr>
          <w:rFonts w:hint="eastAsia" w:ascii="仿宋" w:hAnsi="仿宋" w:eastAsia="仿宋" w:cs="仿宋"/>
          <w:sz w:val="32"/>
          <w:szCs w:val="32"/>
        </w:rPr>
        <w:t>除使用简易程序当场作出行政处罚外，行政执法人员发现公民、法人或者其他组织有依法应当给予行政处罚的违法行为的，必须全面、客观、公正地调查，收集有关证据；必要时，依照法律、法规的规定，可以进行检查。</w:t>
      </w:r>
    </w:p>
    <w:p>
      <w:pPr>
        <w:spacing w:line="560" w:lineRule="exact"/>
        <w:ind w:firstLine="640" w:firstLineChars="200"/>
        <w:rPr>
          <w:rFonts w:ascii="仿宋_GB2312" w:eastAsia="仿宋_GB2312"/>
          <w:sz w:val="32"/>
          <w:szCs w:val="32"/>
        </w:rPr>
      </w:pPr>
      <w:r>
        <w:rPr>
          <w:rFonts w:hint="eastAsia" w:ascii="仿宋" w:hAnsi="仿宋" w:eastAsia="仿宋" w:cs="仿宋"/>
          <w:sz w:val="32"/>
          <w:szCs w:val="32"/>
        </w:rPr>
        <w:t>符合立案标准的，行政机关应当及时立案。</w:t>
      </w:r>
    </w:p>
    <w:p>
      <w:pPr>
        <w:spacing w:line="560" w:lineRule="exact"/>
        <w:ind w:firstLine="640" w:firstLineChars="200"/>
        <w:jc w:val="center"/>
        <w:rPr>
          <w:rFonts w:ascii="仿宋_GB2312" w:eastAsia="仿宋_GB2312"/>
          <w:sz w:val="32"/>
          <w:szCs w:val="32"/>
        </w:rPr>
      </w:pPr>
      <w:r>
        <w:rPr>
          <w:rFonts w:hint="eastAsia" w:ascii="黑体" w:hAnsi="黑体" w:eastAsia="黑体" w:cs="黑体"/>
          <w:bCs/>
          <w:sz w:val="32"/>
          <w:szCs w:val="32"/>
        </w:rPr>
        <w:t>第一节　立　案</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三</w:t>
      </w:r>
      <w:r>
        <w:rPr>
          <w:rFonts w:hint="eastAsia" w:ascii="黑体" w:hAnsi="黑体" w:eastAsia="黑体" w:cs="黑体"/>
          <w:bCs/>
          <w:sz w:val="32"/>
          <w:szCs w:val="32"/>
        </w:rPr>
        <w:t>条</w:t>
      </w:r>
      <w:r>
        <w:rPr>
          <w:rFonts w:hint="eastAsia" w:ascii="仿宋_GB2312" w:eastAsia="仿宋_GB2312"/>
          <w:sz w:val="32"/>
          <w:szCs w:val="32"/>
        </w:rPr>
        <w:t>　</w:t>
      </w:r>
      <w:r>
        <w:rPr>
          <w:rFonts w:hint="eastAsia" w:ascii="仿宋" w:hAnsi="仿宋" w:eastAsia="仿宋" w:cs="仿宋"/>
          <w:sz w:val="32"/>
          <w:szCs w:val="32"/>
        </w:rPr>
        <w:t>适用一般程序的行政处罚案件，应当立案调查。案件来源包括：</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本单位</w:t>
      </w:r>
      <w:r>
        <w:rPr>
          <w:rFonts w:hint="eastAsia" w:ascii="仿宋" w:hAnsi="仿宋" w:eastAsia="仿宋" w:cs="仿宋"/>
          <w:sz w:val="32"/>
          <w:szCs w:val="32"/>
        </w:rPr>
        <w:t>发现的违法行为；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（二）群众举报；</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（三）违法行为人主动投案；</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（四）其他行政主体、司法机关移送的案件；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（五）其他途径获得的案件。</w:t>
      </w:r>
    </w:p>
    <w:p>
      <w:pPr>
        <w:spacing w:line="560" w:lineRule="exact"/>
        <w:ind w:firstLine="640" w:firstLineChars="200"/>
        <w:rPr>
          <w:rFonts w:ascii="仿宋_GB2312" w:eastAsia="仿宋_GB2312"/>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四</w:t>
      </w:r>
      <w:r>
        <w:rPr>
          <w:rFonts w:hint="eastAsia" w:ascii="黑体" w:hAnsi="黑体" w:eastAsia="黑体" w:cs="黑体"/>
          <w:bCs/>
          <w:sz w:val="32"/>
          <w:szCs w:val="32"/>
        </w:rPr>
        <w:t>条</w:t>
      </w:r>
      <w:r>
        <w:rPr>
          <w:rFonts w:hint="eastAsia" w:ascii="仿宋_GB2312" w:eastAsia="仿宋_GB2312"/>
          <w:sz w:val="32"/>
          <w:szCs w:val="32"/>
        </w:rPr>
        <w:t>　</w:t>
      </w:r>
      <w:r>
        <w:rPr>
          <w:rFonts w:hint="eastAsia" w:ascii="仿宋" w:hAnsi="仿宋" w:eastAsia="仿宋" w:cs="仿宋"/>
          <w:sz w:val="32"/>
          <w:szCs w:val="32"/>
        </w:rPr>
        <w:t>行政执法人员对拟立案调查的案件应当填写《立案</w:t>
      </w:r>
      <w:r>
        <w:rPr>
          <w:rFonts w:hint="eastAsia" w:ascii="仿宋" w:hAnsi="仿宋" w:eastAsia="仿宋" w:cs="仿宋"/>
          <w:sz w:val="32"/>
          <w:szCs w:val="32"/>
          <w:lang w:eastAsia="zh-CN"/>
        </w:rPr>
        <w:t>审批表</w:t>
      </w:r>
      <w:r>
        <w:rPr>
          <w:rFonts w:hint="eastAsia" w:ascii="仿宋" w:hAnsi="仿宋" w:eastAsia="仿宋" w:cs="仿宋"/>
          <w:sz w:val="32"/>
          <w:szCs w:val="32"/>
        </w:rPr>
        <w:t>》，报主管领导审批，</w:t>
      </w:r>
      <w:r>
        <w:rPr>
          <w:rFonts w:hint="eastAsia" w:ascii="仿宋" w:hAnsi="仿宋" w:eastAsia="仿宋" w:cs="仿宋"/>
          <w:sz w:val="32"/>
          <w:szCs w:val="32"/>
          <w:lang w:eastAsia="zh-CN"/>
        </w:rPr>
        <w:t>审批表</w:t>
      </w:r>
      <w:r>
        <w:rPr>
          <w:rFonts w:hint="eastAsia" w:ascii="仿宋" w:hAnsi="仿宋" w:eastAsia="仿宋" w:cs="仿宋"/>
          <w:sz w:val="32"/>
          <w:szCs w:val="32"/>
        </w:rPr>
        <w:t>应当包括当事人的基本情况、案由、承办</w:t>
      </w:r>
      <w:r>
        <w:rPr>
          <w:rFonts w:hint="eastAsia" w:ascii="仿宋" w:hAnsi="仿宋" w:eastAsia="仿宋" w:cs="仿宋"/>
          <w:sz w:val="32"/>
          <w:szCs w:val="32"/>
          <w:lang w:val="en-US" w:eastAsia="zh-CN"/>
        </w:rPr>
        <w:t>机构</w:t>
      </w:r>
      <w:r>
        <w:rPr>
          <w:rFonts w:hint="eastAsia" w:ascii="仿宋" w:hAnsi="仿宋" w:eastAsia="仿宋" w:cs="仿宋"/>
          <w:sz w:val="32"/>
          <w:szCs w:val="32"/>
        </w:rPr>
        <w:t>意见等。</w:t>
      </w:r>
    </w:p>
    <w:p>
      <w:pPr>
        <w:spacing w:line="560" w:lineRule="exact"/>
        <w:ind w:firstLine="640" w:firstLineChars="200"/>
        <w:jc w:val="center"/>
        <w:rPr>
          <w:rFonts w:ascii="黑体" w:hAnsi="黑体" w:eastAsia="黑体" w:cs="黑体"/>
          <w:bCs/>
          <w:sz w:val="32"/>
          <w:szCs w:val="32"/>
        </w:rPr>
      </w:pPr>
      <w:r>
        <w:rPr>
          <w:rFonts w:hint="eastAsia" w:ascii="黑体" w:hAnsi="黑体" w:eastAsia="黑体" w:cs="黑体"/>
          <w:bCs/>
          <w:sz w:val="32"/>
          <w:szCs w:val="32"/>
        </w:rPr>
        <w:t>第二节　调查取证</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五</w:t>
      </w:r>
      <w:r>
        <w:rPr>
          <w:rFonts w:hint="eastAsia" w:ascii="黑体" w:hAnsi="黑体" w:eastAsia="黑体" w:cs="黑体"/>
          <w:bCs/>
          <w:sz w:val="32"/>
          <w:szCs w:val="32"/>
        </w:rPr>
        <w:t>条</w:t>
      </w:r>
      <w:r>
        <w:rPr>
          <w:rFonts w:hint="eastAsia" w:ascii="仿宋_GB2312" w:eastAsia="仿宋_GB2312"/>
          <w:sz w:val="32"/>
          <w:szCs w:val="32"/>
        </w:rPr>
        <w:t>　</w:t>
      </w:r>
      <w:r>
        <w:rPr>
          <w:rFonts w:hint="eastAsia" w:ascii="仿宋" w:hAnsi="仿宋" w:eastAsia="仿宋" w:cs="仿宋"/>
          <w:sz w:val="32"/>
          <w:szCs w:val="32"/>
        </w:rPr>
        <w:t>对已批准立案的案件，行政执法人员应当全面、客观、公正地调查，收集有关证据，查明违法事实。</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行政机关在调查或者进行检查时，执法人员不得少于两人，并应当主动向当事人或有关人员出示执法证件。执法人员不出示执法证件的，当事人或者有关人员有权拒绝接受调查或者检查。</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六</w:t>
      </w:r>
      <w:r>
        <w:rPr>
          <w:rFonts w:hint="eastAsia" w:ascii="黑体" w:hAnsi="黑体" w:eastAsia="黑体" w:cs="黑体"/>
          <w:bCs/>
          <w:sz w:val="32"/>
          <w:szCs w:val="32"/>
        </w:rPr>
        <w:t>条</w:t>
      </w:r>
      <w:r>
        <w:rPr>
          <w:rFonts w:hint="eastAsia" w:ascii="仿宋_GB2312" w:eastAsia="仿宋_GB2312"/>
          <w:sz w:val="32"/>
          <w:szCs w:val="32"/>
        </w:rPr>
        <w:t>　</w:t>
      </w:r>
      <w:r>
        <w:rPr>
          <w:rFonts w:hint="eastAsia" w:ascii="仿宋" w:hAnsi="仿宋" w:eastAsia="仿宋" w:cs="仿宋"/>
          <w:sz w:val="32"/>
          <w:szCs w:val="32"/>
        </w:rPr>
        <w:t>当事人是公民的，委托他人代理时，应提交《授权委托书》、委托人身份证复印件和受委托人身份证复印件等相关委托材料；当事人是法人或其他组织的，应当提供《授权委托书》、委托人营业执照复印件和受委托人身份证复印件等相关委托材料。</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七</w:t>
      </w:r>
      <w:r>
        <w:rPr>
          <w:rFonts w:hint="eastAsia" w:ascii="黑体" w:hAnsi="黑体" w:eastAsia="黑体" w:cs="黑体"/>
          <w:bCs/>
          <w:sz w:val="32"/>
          <w:szCs w:val="32"/>
        </w:rPr>
        <w:t>条</w:t>
      </w:r>
      <w:r>
        <w:rPr>
          <w:rFonts w:hint="eastAsia" w:ascii="仿宋_GB2312" w:eastAsia="仿宋_GB2312"/>
          <w:sz w:val="32"/>
          <w:szCs w:val="32"/>
        </w:rPr>
        <w:t>　</w:t>
      </w:r>
      <w:r>
        <w:rPr>
          <w:rFonts w:hint="eastAsia" w:ascii="仿宋" w:hAnsi="仿宋" w:eastAsia="仿宋" w:cs="仿宋"/>
          <w:sz w:val="32"/>
          <w:szCs w:val="32"/>
        </w:rPr>
        <w:t>行政执法人员依法进行现场检查或对当事人、证人进行单独询问时。当事人或者有关人员应当如实回答询问，并协助调查或者检查，不得拒绝或者阻挠。检查或者询问应当制作笔录，分别填写《现场检查笔录》或《询问笔录》。</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在案件办理期间制作的各类笔录，应当经当事人或被询问人核对无误后，与行政执法人员共同在笔录上签名。当事人或被询问人拒绝签名的，应当由两名行政执法人员在笔录上签名并注明情况。</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八</w:t>
      </w:r>
      <w:r>
        <w:rPr>
          <w:rFonts w:hint="eastAsia" w:ascii="黑体" w:hAnsi="黑体" w:eastAsia="黑体" w:cs="黑体"/>
          <w:bCs/>
          <w:sz w:val="32"/>
          <w:szCs w:val="32"/>
        </w:rPr>
        <w:t>条</w:t>
      </w:r>
      <w:r>
        <w:rPr>
          <w:rFonts w:hint="eastAsia" w:ascii="仿宋_GB2312" w:eastAsia="仿宋_GB2312"/>
          <w:sz w:val="32"/>
          <w:szCs w:val="32"/>
        </w:rPr>
        <w:t>　</w:t>
      </w:r>
      <w:r>
        <w:rPr>
          <w:rFonts w:hint="eastAsia" w:ascii="仿宋" w:hAnsi="仿宋" w:eastAsia="仿宋" w:cs="仿宋"/>
          <w:sz w:val="32"/>
          <w:szCs w:val="32"/>
        </w:rPr>
        <w:t>调查取证的证据应当是原件、原物，取得原件、原物确有困难的，可进行复印或拍照，物证照片或复印件由当事人签字，并注明“与原件(物)相同”字样或进行文字说明。</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十九</w:t>
      </w:r>
      <w:r>
        <w:rPr>
          <w:rFonts w:hint="eastAsia" w:ascii="黑体" w:hAnsi="黑体" w:eastAsia="黑体" w:cs="黑体"/>
          <w:bCs/>
          <w:sz w:val="32"/>
          <w:szCs w:val="32"/>
        </w:rPr>
        <w:t>条</w:t>
      </w:r>
      <w:r>
        <w:rPr>
          <w:rFonts w:hint="eastAsia" w:ascii="仿宋_GB2312" w:eastAsia="仿宋_GB2312"/>
          <w:sz w:val="32"/>
          <w:szCs w:val="32"/>
        </w:rPr>
        <w:t>　</w:t>
      </w:r>
      <w:r>
        <w:rPr>
          <w:rFonts w:hint="eastAsia" w:ascii="仿宋" w:hAnsi="仿宋" w:eastAsia="仿宋" w:cs="仿宋"/>
          <w:sz w:val="32"/>
          <w:szCs w:val="32"/>
        </w:rPr>
        <w:t>当事人有权进行陈述和申辩。行政执法人员必须充分听取当事人的意见，对当事人提出的事实、理由和证据，应当进行复核。</w:t>
      </w:r>
    </w:p>
    <w:p>
      <w:pPr>
        <w:spacing w:line="560" w:lineRule="exact"/>
        <w:ind w:firstLine="640" w:firstLineChars="200"/>
        <w:jc w:val="center"/>
        <w:rPr>
          <w:rFonts w:ascii="仿宋_GB2312" w:eastAsia="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三</w:t>
      </w:r>
      <w:r>
        <w:rPr>
          <w:rFonts w:hint="eastAsia" w:ascii="黑体" w:hAnsi="黑体" w:eastAsia="黑体" w:cs="黑体"/>
          <w:bCs/>
          <w:sz w:val="32"/>
          <w:szCs w:val="32"/>
        </w:rPr>
        <w:t>节　审查与决定</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第二十条</w:t>
      </w:r>
      <w:r>
        <w:rPr>
          <w:rFonts w:hint="eastAsia" w:ascii="仿宋_GB2312" w:eastAsia="仿宋_GB2312"/>
          <w:sz w:val="32"/>
          <w:szCs w:val="32"/>
        </w:rPr>
        <w:t>　</w:t>
      </w:r>
      <w:r>
        <w:rPr>
          <w:rFonts w:hint="eastAsia" w:ascii="仿宋" w:hAnsi="仿宋" w:eastAsia="仿宋" w:cs="仿宋"/>
          <w:sz w:val="32"/>
          <w:szCs w:val="32"/>
        </w:rPr>
        <w:t>行政执法人员经过调查取证，认为案件事实已经调查清楚，应当根据认定的事实和获取的证据情况，制作《调查终结报告》。</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调查终结报告应当包括下列内容：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（一）当事人的基本情况；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（二）案件来源、案发过程以及调查经过；</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（三）违法事实及其相关证据；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（四）采取先行登记保存证据、行政强制措施等情况；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（五）法律依据、裁量基准运用和理由以及处罚意见等。</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黑体" w:hAnsi="黑体" w:eastAsia="黑体" w:cs="黑体"/>
          <w:bCs/>
          <w:kern w:val="2"/>
          <w:sz w:val="32"/>
          <w:szCs w:val="32"/>
        </w:rPr>
        <w:t>第二十</w:t>
      </w:r>
      <w:r>
        <w:rPr>
          <w:rFonts w:hint="eastAsia" w:ascii="黑体" w:hAnsi="黑体" w:eastAsia="黑体" w:cs="黑体"/>
          <w:bCs/>
          <w:kern w:val="2"/>
          <w:sz w:val="32"/>
          <w:szCs w:val="32"/>
          <w:lang w:eastAsia="zh-CN"/>
        </w:rPr>
        <w:t>一</w:t>
      </w:r>
      <w:r>
        <w:rPr>
          <w:rFonts w:hint="eastAsia" w:ascii="黑体" w:hAnsi="黑体" w:eastAsia="黑体" w:cs="黑体"/>
          <w:bCs/>
          <w:kern w:val="2"/>
          <w:sz w:val="32"/>
          <w:szCs w:val="32"/>
        </w:rPr>
        <w:t>条</w:t>
      </w:r>
      <w:r>
        <w:rPr>
          <w:rFonts w:hint="eastAsia" w:ascii="黑体" w:hAnsi="宋体" w:eastAsia="黑体" w:cs="黑体"/>
          <w:sz w:val="31"/>
          <w:szCs w:val="31"/>
        </w:rPr>
        <w:t> </w:t>
      </w:r>
      <w:r>
        <w:rPr>
          <w:rFonts w:hint="eastAsia" w:ascii="仿宋" w:hAnsi="仿宋" w:eastAsia="仿宋" w:cs="仿宋"/>
          <w:sz w:val="32"/>
          <w:szCs w:val="32"/>
        </w:rPr>
        <w:t>在行政机关负责人作出行政处罚的决定之前，法制审核机构应当对调查终结的案件材料进行法制审核。</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法制审核的内容主要包括：</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（一）是否属于本机关的职权范围；</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（二）案件办理人员是否具备行政执法资格；</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（三）当事人的基本情况;</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（四）违法事实是否清楚,证据是否确凿;</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（五）案件定性是否准确;</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（六）适用法律、法规和规章是否正确;</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（七）是否符合法定程序;</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（八）裁量基准运用以及拟作出的处理决定是否适当；</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（九）违法行为是否涉嫌犯罪需要移送司法机关处理；</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（十）法律、法规规定应当审核的其他内容。</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未经法制审核或者审核未通过的，不得作出决定。</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行政机关中从事行政处罚决定法制审核的人员，应当通过国家统一法律职业资格考试并取得法律职业资格。</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黑体" w:hAnsi="黑体" w:eastAsia="黑体" w:cs="黑体"/>
          <w:bCs/>
          <w:kern w:val="2"/>
          <w:sz w:val="32"/>
          <w:szCs w:val="32"/>
        </w:rPr>
        <w:t>第二十</w:t>
      </w:r>
      <w:r>
        <w:rPr>
          <w:rFonts w:hint="eastAsia" w:ascii="黑体" w:hAnsi="黑体" w:eastAsia="黑体" w:cs="黑体"/>
          <w:bCs/>
          <w:kern w:val="2"/>
          <w:sz w:val="32"/>
          <w:szCs w:val="32"/>
          <w:lang w:val="en-US" w:eastAsia="zh-CN"/>
        </w:rPr>
        <w:t>二</w:t>
      </w:r>
      <w:r>
        <w:rPr>
          <w:rFonts w:hint="eastAsia" w:ascii="黑体" w:hAnsi="黑体" w:eastAsia="黑体" w:cs="黑体"/>
          <w:bCs/>
          <w:kern w:val="2"/>
          <w:sz w:val="32"/>
          <w:szCs w:val="32"/>
        </w:rPr>
        <w:t>条</w:t>
      </w:r>
      <w:r>
        <w:rPr>
          <w:rFonts w:hint="eastAsia" w:ascii="黑体" w:hAnsi="宋体" w:eastAsia="黑体" w:cs="黑体"/>
          <w:sz w:val="31"/>
          <w:szCs w:val="31"/>
        </w:rPr>
        <w:t> </w:t>
      </w:r>
      <w:r>
        <w:rPr>
          <w:rFonts w:hint="eastAsia" w:ascii="仿宋" w:hAnsi="仿宋" w:eastAsia="仿宋" w:cs="仿宋"/>
          <w:sz w:val="32"/>
          <w:szCs w:val="32"/>
        </w:rPr>
        <w:t>法制审核机构进行法制审核时，发现有下列情形之一的，可以退回办案机构补充或补正调查，并应当指明补充或补正调查的内容和对象：</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（一）事实不清的；</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（二）证据不足的；</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（三）调查取证程序违法的；</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（四）其他需要补充或补正调查的情形。</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法制审核机构审核完毕应出具《法制审核意见书》，行政执法人员应当将案件材料、行政处罚建议及审核意见等案卷材料报所在行政机关负责人审查决定。</w:t>
      </w:r>
    </w:p>
    <w:p>
      <w:pPr>
        <w:pStyle w:val="5"/>
        <w:widowControl/>
        <w:spacing w:beforeAutospacing="0" w:afterAutospacing="0" w:line="560" w:lineRule="exact"/>
        <w:ind w:firstLine="620" w:firstLineChars="200"/>
        <w:jc w:val="both"/>
        <w:rPr>
          <w:rFonts w:hint="eastAsia" w:ascii="仿宋" w:hAnsi="仿宋" w:eastAsia="仿宋" w:cs="仿宋"/>
          <w:sz w:val="32"/>
          <w:szCs w:val="32"/>
        </w:rPr>
      </w:pPr>
      <w:r>
        <w:rPr>
          <w:rFonts w:hint="eastAsia" w:ascii="黑体" w:hAnsi="宋体" w:eastAsia="黑体" w:cs="黑体"/>
          <w:sz w:val="31"/>
          <w:szCs w:val="31"/>
        </w:rPr>
        <w:t>第二十</w:t>
      </w:r>
      <w:r>
        <w:rPr>
          <w:rFonts w:hint="eastAsia" w:ascii="黑体" w:hAnsi="宋体" w:eastAsia="黑体" w:cs="黑体"/>
          <w:sz w:val="31"/>
          <w:szCs w:val="31"/>
          <w:lang w:val="en-US" w:eastAsia="zh-CN"/>
        </w:rPr>
        <w:t>三</w:t>
      </w:r>
      <w:r>
        <w:rPr>
          <w:rFonts w:hint="eastAsia" w:ascii="黑体" w:hAnsi="宋体" w:eastAsia="黑体" w:cs="黑体"/>
          <w:sz w:val="31"/>
          <w:szCs w:val="31"/>
        </w:rPr>
        <w:t>条</w:t>
      </w:r>
      <w:r>
        <w:rPr>
          <w:rFonts w:hint="eastAsia" w:ascii="仿宋_GB2312" w:eastAsia="仿宋_GB2312"/>
          <w:sz w:val="32"/>
          <w:szCs w:val="32"/>
        </w:rPr>
        <w:t>　</w:t>
      </w:r>
      <w:r>
        <w:rPr>
          <w:rFonts w:hint="eastAsia" w:ascii="仿宋" w:hAnsi="仿宋" w:eastAsia="仿宋" w:cs="仿宋"/>
          <w:sz w:val="32"/>
          <w:szCs w:val="32"/>
        </w:rPr>
        <w:t>行政机关负责人应当对调查结果进行审查，根据不同情况，分别作出如下决定：</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（一）确有应受行政处罚的违法行为的，根据情节轻重及具体情况，作出行政处罚决定；</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（二）违法行为轻微，依法可以不予行政处罚的，不予行政处罚；</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（三）违法事实不能成立的，不予行政处罚；</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（四）违法行为涉嫌犯罪的，移送司法机关。</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对情节复杂或者重大违法行为给予行政处罚，行政机关负责人应当集体讨论决定。集体讨论应当制作《重大行政执法决定集体讨论</w:t>
      </w:r>
      <w:r>
        <w:rPr>
          <w:rFonts w:hint="eastAsia" w:ascii="仿宋" w:hAnsi="仿宋" w:eastAsia="仿宋" w:cs="仿宋"/>
          <w:sz w:val="32"/>
          <w:szCs w:val="32"/>
          <w:lang w:eastAsia="zh-CN"/>
        </w:rPr>
        <w:t>笔</w:t>
      </w:r>
      <w:r>
        <w:rPr>
          <w:rFonts w:hint="eastAsia" w:ascii="仿宋" w:hAnsi="仿宋" w:eastAsia="仿宋" w:cs="仿宋"/>
          <w:sz w:val="32"/>
          <w:szCs w:val="32"/>
        </w:rPr>
        <w:t>录》，载明讨论的时间、地点、主持人、明确的结论、参加人员意见及签名。</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重大、复杂案件是指：</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highlight w:val="none"/>
        </w:rPr>
        <w:t>对个人罚款</w:t>
      </w:r>
      <w:r>
        <w:rPr>
          <w:rFonts w:hint="eastAsia" w:ascii="仿宋" w:hAnsi="仿宋" w:eastAsia="仿宋" w:cs="仿宋"/>
          <w:sz w:val="32"/>
          <w:szCs w:val="32"/>
          <w:highlight w:val="none"/>
          <w:lang w:val="en-US" w:eastAsia="zh-CN"/>
        </w:rPr>
        <w:t>2000</w:t>
      </w:r>
      <w:r>
        <w:rPr>
          <w:rFonts w:hint="eastAsia" w:ascii="仿宋" w:hAnsi="仿宋" w:eastAsia="仿宋" w:cs="仿宋"/>
          <w:sz w:val="32"/>
          <w:szCs w:val="32"/>
          <w:highlight w:val="none"/>
        </w:rPr>
        <w:t>元以上，对法人或其他组织罚款</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0</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元以上的</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（二）责令停产停业的；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（三）吊销许可证或者执照的；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（四）法律、法规和规章规定的其他重大案件。</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二十四</w:t>
      </w:r>
      <w:r>
        <w:rPr>
          <w:rFonts w:hint="eastAsia" w:ascii="黑体" w:hAnsi="黑体" w:eastAsia="黑体" w:cs="黑体"/>
          <w:bCs/>
          <w:sz w:val="32"/>
          <w:szCs w:val="32"/>
        </w:rPr>
        <w:t>条</w:t>
      </w:r>
      <w:r>
        <w:rPr>
          <w:rFonts w:hint="eastAsia" w:ascii="宋体" w:hAnsi="宋体" w:eastAsia="仿宋_GB2312" w:cs="宋体"/>
          <w:color w:val="000000"/>
          <w:kern w:val="0"/>
          <w:sz w:val="32"/>
          <w:szCs w:val="32"/>
        </w:rPr>
        <w:t> </w:t>
      </w:r>
      <w:r>
        <w:rPr>
          <w:rFonts w:hint="eastAsia" w:ascii="仿宋" w:hAnsi="仿宋" w:eastAsia="仿宋" w:cs="仿宋"/>
          <w:sz w:val="32"/>
          <w:szCs w:val="32"/>
        </w:rPr>
        <w:t>行政处罚案件一般应当自立案之日起九十日内作出行政处罚决定。法律、法规、规章另有规定的，从其规定。</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第二十五条</w:t>
      </w:r>
      <w:r>
        <w:rPr>
          <w:rFonts w:hint="eastAsia" w:ascii="仿宋_GB2312" w:eastAsia="仿宋_GB2312"/>
          <w:sz w:val="32"/>
          <w:szCs w:val="32"/>
        </w:rPr>
        <w:t>　</w:t>
      </w:r>
      <w:r>
        <w:rPr>
          <w:rFonts w:hint="eastAsia" w:ascii="仿宋" w:hAnsi="仿宋" w:eastAsia="仿宋" w:cs="仿宋"/>
          <w:sz w:val="32"/>
          <w:szCs w:val="32"/>
        </w:rPr>
        <w:t>对主管领导或集体讨论后决定行政处罚或决定移送的案件，执法人员应当根据决定分别填写《行政处罚决定书》或《案件移送审批表》、《案件移送书》；对决定不予处罚的案件，依据本规</w:t>
      </w:r>
      <w:r>
        <w:rPr>
          <w:rFonts w:hint="eastAsia" w:ascii="仿宋" w:hAnsi="仿宋" w:eastAsia="仿宋" w:cs="仿宋"/>
          <w:sz w:val="32"/>
          <w:szCs w:val="32"/>
          <w:lang w:val="en-US" w:eastAsia="zh-CN"/>
        </w:rPr>
        <w:t>定</w:t>
      </w:r>
      <w:r>
        <w:rPr>
          <w:rFonts w:hint="eastAsia" w:ascii="仿宋" w:hAnsi="仿宋" w:eastAsia="仿宋" w:cs="仿宋"/>
          <w:sz w:val="32"/>
          <w:szCs w:val="32"/>
        </w:rPr>
        <w:t>有关结案的程序办理结案手续。</w:t>
      </w:r>
    </w:p>
    <w:p>
      <w:pPr>
        <w:spacing w:line="560" w:lineRule="exact"/>
        <w:ind w:firstLine="640" w:firstLineChars="200"/>
        <w:jc w:val="center"/>
        <w:rPr>
          <w:rFonts w:ascii="仿宋_GB2312" w:eastAsia="仿宋_GB2312"/>
          <w:sz w:val="32"/>
          <w:szCs w:val="32"/>
        </w:rPr>
      </w:pPr>
      <w:r>
        <w:rPr>
          <w:rFonts w:hint="eastAsia" w:ascii="黑体" w:hAnsi="黑体" w:eastAsia="黑体" w:cs="黑体"/>
          <w:bCs/>
          <w:sz w:val="32"/>
          <w:szCs w:val="32"/>
        </w:rPr>
        <w:t>第四节　告知与听证</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第二十六条</w:t>
      </w:r>
      <w:r>
        <w:rPr>
          <w:rFonts w:hint="eastAsia" w:ascii="仿宋_GB2312" w:eastAsia="仿宋_GB2312"/>
          <w:sz w:val="32"/>
          <w:szCs w:val="32"/>
        </w:rPr>
        <w:t>　</w:t>
      </w:r>
      <w:r>
        <w:rPr>
          <w:rFonts w:hint="eastAsia" w:ascii="仿宋" w:hAnsi="仿宋" w:eastAsia="仿宋" w:cs="仿宋"/>
          <w:sz w:val="32"/>
          <w:szCs w:val="32"/>
        </w:rPr>
        <w:t>行政机关在作出行政处罚决定之前，应当向当事人送达《行政处罚事先告知书》，告知当事人拟作出的行政处罚内容及事实、理由、依据，并告知当事人依法享有的陈述、申辩、要求听证等权利。</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第二十七条</w:t>
      </w:r>
      <w:r>
        <w:rPr>
          <w:rFonts w:hint="eastAsia" w:ascii="仿宋_GB2312" w:eastAsia="仿宋_GB2312"/>
          <w:sz w:val="32"/>
          <w:szCs w:val="32"/>
        </w:rPr>
        <w:t>　</w:t>
      </w:r>
      <w:r>
        <w:rPr>
          <w:rFonts w:hint="eastAsia" w:ascii="仿宋" w:hAnsi="仿宋" w:eastAsia="仿宋" w:cs="仿宋"/>
          <w:sz w:val="32"/>
          <w:szCs w:val="32"/>
        </w:rPr>
        <w:t>当事人有权进行陈述和申辩。行政机关必须充分听取当事人的意见，对当事人提出的事实、理由和证据，应当</w:t>
      </w:r>
      <w:r>
        <w:rPr>
          <w:rFonts w:hint="eastAsia" w:ascii="仿宋" w:hAnsi="仿宋" w:eastAsia="仿宋" w:cs="仿宋"/>
          <w:sz w:val="32"/>
          <w:szCs w:val="32"/>
          <w:lang w:val="en-US" w:eastAsia="zh-CN"/>
        </w:rPr>
        <w:t>尽快</w:t>
      </w:r>
      <w:r>
        <w:rPr>
          <w:rFonts w:hint="eastAsia" w:ascii="仿宋" w:hAnsi="仿宋" w:eastAsia="仿宋" w:cs="仿宋"/>
          <w:sz w:val="32"/>
          <w:szCs w:val="32"/>
        </w:rPr>
        <w:t>进行复核并提出复核意见；当事人提出的事实、理由或者证据成立的，行政机关应当采纳。</w:t>
      </w:r>
    </w:p>
    <w:p>
      <w:pPr>
        <w:spacing w:line="560" w:lineRule="exact"/>
        <w:ind w:firstLine="640" w:firstLineChars="200"/>
        <w:rPr>
          <w:rFonts w:ascii="仿宋_GB2312" w:eastAsia="仿宋_GB2312"/>
          <w:sz w:val="32"/>
          <w:szCs w:val="32"/>
        </w:rPr>
      </w:pPr>
      <w:r>
        <w:rPr>
          <w:rFonts w:hint="eastAsia" w:ascii="仿宋" w:hAnsi="仿宋" w:eastAsia="仿宋" w:cs="仿宋"/>
          <w:sz w:val="32"/>
          <w:szCs w:val="32"/>
        </w:rPr>
        <w:t>行政机关不得因当事人陈述、申辩而给予更重的处罚。</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第二十八条</w:t>
      </w:r>
      <w:r>
        <w:rPr>
          <w:rFonts w:hint="eastAsia" w:ascii="仿宋_GB2312" w:eastAsia="仿宋_GB2312"/>
          <w:sz w:val="32"/>
          <w:szCs w:val="32"/>
        </w:rPr>
        <w:t>　</w:t>
      </w:r>
      <w:r>
        <w:rPr>
          <w:rFonts w:hint="eastAsia" w:ascii="仿宋" w:hAnsi="仿宋" w:eastAsia="仿宋" w:cs="仿宋"/>
          <w:sz w:val="32"/>
          <w:szCs w:val="32"/>
        </w:rPr>
        <w:t>行政机关作出下列行政处罚决定前，应当向当事人或委托代理人送达《行政处罚听证告知书》，告知当事人或委托代理人享有要求听证的权利。</w:t>
      </w:r>
    </w:p>
    <w:p>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对公民超</w:t>
      </w:r>
      <w:r>
        <w:rPr>
          <w:rFonts w:hint="eastAsia" w:ascii="仿宋" w:hAnsi="仿宋" w:eastAsia="仿宋" w:cs="仿宋"/>
          <w:color w:val="auto"/>
          <w:sz w:val="32"/>
          <w:szCs w:val="32"/>
          <w:highlight w:val="none"/>
        </w:rPr>
        <w:t>过</w:t>
      </w:r>
      <w:r>
        <w:rPr>
          <w:rFonts w:hint="eastAsia" w:ascii="仿宋" w:hAnsi="仿宋" w:eastAsia="仿宋" w:cs="仿宋"/>
          <w:color w:val="FF0000"/>
          <w:sz w:val="32"/>
          <w:szCs w:val="32"/>
          <w:highlight w:val="none"/>
        </w:rPr>
        <w:t>2000</w:t>
      </w:r>
      <w:r>
        <w:rPr>
          <w:rFonts w:hint="eastAsia" w:ascii="仿宋" w:hAnsi="仿宋" w:eastAsia="仿宋" w:cs="仿宋"/>
          <w:color w:val="auto"/>
          <w:sz w:val="32"/>
          <w:szCs w:val="32"/>
          <w:highlight w:val="none"/>
        </w:rPr>
        <w:t>元的罚款，对法人或者其他组织处以超过30000元</w:t>
      </w:r>
      <w:r>
        <w:rPr>
          <w:rFonts w:hint="eastAsia" w:ascii="仿宋" w:hAnsi="仿宋" w:eastAsia="仿宋" w:cs="仿宋"/>
          <w:sz w:val="32"/>
          <w:szCs w:val="32"/>
        </w:rPr>
        <w:t>罚款；</w:t>
      </w:r>
    </w:p>
    <w:p>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责令停产停业；</w:t>
      </w:r>
    </w:p>
    <w:p>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吊销许可证或者执照；</w:t>
      </w:r>
    </w:p>
    <w:p>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法律、法规、规章规定的其他情形。</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当事人或委托代理人要求听证的，应当在行政机关告知后5日内提出，既可以在告知书送达回证上签署意见，也可以以书面形式向行政机关提出听证要求。当事人或委托代理人逾期未提出要求的，视为放弃听证权利。</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第二十九条</w:t>
      </w:r>
      <w:r>
        <w:rPr>
          <w:rFonts w:hint="eastAsia" w:ascii="仿宋_GB2312" w:eastAsia="仿宋_GB2312"/>
          <w:sz w:val="32"/>
          <w:szCs w:val="32"/>
        </w:rPr>
        <w:t>　</w:t>
      </w:r>
      <w:r>
        <w:rPr>
          <w:rFonts w:hint="eastAsia" w:ascii="仿宋" w:hAnsi="仿宋" w:eastAsia="仿宋" w:cs="仿宋"/>
          <w:sz w:val="32"/>
          <w:szCs w:val="32"/>
        </w:rPr>
        <w:t>当事人或委托代理人提出听证要求后，行政机关应当及时组织听证，并在听证举行7日前将《行政处罚听证通知书》送达当事人。《行政处罚听证通知书》的内容应当包括举行听证的时间、地点、主持人等有关事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当事人或委托代理人应当按期出席听证会。当事人或委托代理人有正当理由要求延期的，准许延期一次；当事人或委托代理人未按期参加听证并且事先未说明理由的，视为放弃听证权利。</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第三十条</w:t>
      </w:r>
      <w:r>
        <w:rPr>
          <w:rFonts w:hint="eastAsia" w:ascii="仿宋_GB2312" w:eastAsia="仿宋_GB2312"/>
          <w:sz w:val="32"/>
          <w:szCs w:val="32"/>
        </w:rPr>
        <w:t>　</w:t>
      </w:r>
      <w:r>
        <w:rPr>
          <w:rFonts w:hint="eastAsia" w:ascii="仿宋" w:hAnsi="仿宋" w:eastAsia="仿宋" w:cs="仿宋"/>
          <w:sz w:val="32"/>
          <w:szCs w:val="32"/>
        </w:rPr>
        <w:t>听证由行政机关指定的本机关法制机构或者承担法制工作任务机构的未参与本案调查的人员主持，并应当有专人记录。当事人或委托代理人认为听证主持人与本案有直接利害关系，有权向行政机关提出回避申请。</w:t>
      </w:r>
    </w:p>
    <w:p>
      <w:pPr>
        <w:spacing w:line="560" w:lineRule="exact"/>
        <w:ind w:firstLine="640" w:firstLineChars="200"/>
        <w:rPr>
          <w:rFonts w:ascii="仿宋_GB2312" w:eastAsia="仿宋_GB2312"/>
          <w:sz w:val="32"/>
          <w:szCs w:val="32"/>
        </w:rPr>
      </w:pPr>
      <w:r>
        <w:rPr>
          <w:rFonts w:hint="eastAsia" w:ascii="黑体" w:hAnsi="黑体" w:eastAsia="黑体" w:cs="黑体"/>
          <w:bCs/>
          <w:sz w:val="32"/>
          <w:szCs w:val="32"/>
        </w:rPr>
        <w:t>第三十一条</w:t>
      </w:r>
      <w:r>
        <w:rPr>
          <w:rFonts w:hint="eastAsia" w:ascii="仿宋_GB2312" w:eastAsia="仿宋_GB2312"/>
          <w:sz w:val="32"/>
          <w:szCs w:val="32"/>
        </w:rPr>
        <w:t>　</w:t>
      </w:r>
      <w:r>
        <w:rPr>
          <w:rFonts w:hint="eastAsia" w:ascii="仿宋" w:hAnsi="仿宋" w:eastAsia="仿宋" w:cs="仿宋"/>
          <w:sz w:val="32"/>
          <w:szCs w:val="32"/>
        </w:rPr>
        <w:t>听证参加人员包括行政处罚案件的当事人或委托代理人及该案执法人员等。</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第三十二条</w:t>
      </w:r>
      <w:r>
        <w:rPr>
          <w:rFonts w:hint="eastAsia" w:ascii="仿宋_GB2312" w:eastAsia="仿宋_GB2312"/>
          <w:sz w:val="32"/>
          <w:szCs w:val="32"/>
        </w:rPr>
        <w:t>　</w:t>
      </w:r>
      <w:r>
        <w:rPr>
          <w:rFonts w:hint="eastAsia" w:ascii="仿宋" w:hAnsi="仿宋" w:eastAsia="仿宋" w:cs="仿宋"/>
          <w:sz w:val="32"/>
          <w:szCs w:val="32"/>
        </w:rPr>
        <w:t>听证应当制作《听证笔录》，听证主持人应当在听证后将听证笔录交当事人或委托代理人和案件调查人员核对无误后签名或盖章。当事人或委托代理人拒绝签名的，由听证主持人在听证笔录中注明。听证结束后，听证主持人应当依据听证情况制作《听证报告》。</w:t>
      </w:r>
    </w:p>
    <w:p>
      <w:pPr>
        <w:pStyle w:val="5"/>
        <w:widowControl/>
        <w:spacing w:beforeAutospacing="0" w:afterAutospacing="0" w:line="560" w:lineRule="exact"/>
        <w:ind w:firstLine="640" w:firstLineChars="200"/>
        <w:jc w:val="both"/>
        <w:rPr>
          <w:rFonts w:hint="eastAsia" w:ascii="仿宋" w:hAnsi="仿宋" w:eastAsia="仿宋" w:cs="仿宋"/>
          <w:sz w:val="32"/>
          <w:szCs w:val="32"/>
        </w:rPr>
      </w:pPr>
      <w:r>
        <w:rPr>
          <w:rFonts w:hint="eastAsia" w:ascii="黑体" w:hAnsi="黑体" w:eastAsia="黑体" w:cs="黑体"/>
          <w:bCs/>
          <w:sz w:val="32"/>
          <w:szCs w:val="32"/>
        </w:rPr>
        <w:t>第三十三条</w:t>
      </w:r>
      <w:r>
        <w:rPr>
          <w:rFonts w:hint="eastAsia" w:ascii="仿宋_GB2312" w:eastAsia="仿宋_GB2312"/>
          <w:sz w:val="32"/>
          <w:szCs w:val="32"/>
        </w:rPr>
        <w:t>　</w:t>
      </w:r>
      <w:r>
        <w:rPr>
          <w:rFonts w:hint="eastAsia" w:ascii="仿宋" w:hAnsi="仿宋" w:eastAsia="仿宋" w:cs="仿宋"/>
          <w:sz w:val="32"/>
          <w:szCs w:val="32"/>
        </w:rPr>
        <w:t>当事人提出陈述、申辩意见或者经过听证的，行政执法机关应当根据审批意见</w:t>
      </w:r>
      <w:r>
        <w:rPr>
          <w:rFonts w:hint="eastAsia" w:ascii="仿宋" w:hAnsi="仿宋" w:eastAsia="仿宋" w:cs="仿宋"/>
          <w:sz w:val="32"/>
          <w:szCs w:val="32"/>
          <w:lang w:eastAsia="zh-CN"/>
        </w:rPr>
        <w:t>、</w:t>
      </w:r>
      <w:r>
        <w:rPr>
          <w:rFonts w:hint="eastAsia" w:ascii="仿宋" w:hAnsi="仿宋" w:eastAsia="仿宋" w:cs="仿宋"/>
          <w:sz w:val="32"/>
          <w:szCs w:val="32"/>
        </w:rPr>
        <w:t>陈述申辩复核意见</w:t>
      </w:r>
      <w:r>
        <w:rPr>
          <w:rFonts w:hint="eastAsia" w:ascii="仿宋_GB2312" w:eastAsia="仿宋_GB2312" w:cs="仿宋_GB2312"/>
          <w:sz w:val="31"/>
          <w:szCs w:val="31"/>
          <w:lang w:val="en-US" w:eastAsia="zh-CN"/>
        </w:rPr>
        <w:t>或者</w:t>
      </w:r>
      <w:r>
        <w:rPr>
          <w:rFonts w:hint="eastAsia" w:ascii="仿宋" w:hAnsi="仿宋" w:eastAsia="仿宋" w:cs="仿宋"/>
          <w:sz w:val="32"/>
          <w:szCs w:val="32"/>
        </w:rPr>
        <w:t>听证报告，</w:t>
      </w:r>
      <w:r>
        <w:rPr>
          <w:rFonts w:hint="eastAsia" w:ascii="仿宋" w:hAnsi="仿宋" w:eastAsia="仿宋" w:cs="仿宋"/>
          <w:sz w:val="32"/>
          <w:szCs w:val="32"/>
          <w:shd w:val="clear" w:color="auto" w:fill="FFFFFF"/>
        </w:rPr>
        <w:t>按照本规定第二十</w:t>
      </w:r>
      <w:r>
        <w:rPr>
          <w:rFonts w:hint="eastAsia" w:ascii="仿宋" w:hAnsi="仿宋" w:eastAsia="仿宋" w:cs="仿宋"/>
          <w:sz w:val="32"/>
          <w:szCs w:val="32"/>
          <w:shd w:val="clear" w:color="auto" w:fill="FFFFFF"/>
          <w:lang w:val="en-US" w:eastAsia="zh-CN"/>
        </w:rPr>
        <w:t>三</w:t>
      </w:r>
      <w:r>
        <w:rPr>
          <w:rFonts w:hint="eastAsia" w:ascii="仿宋" w:hAnsi="仿宋" w:eastAsia="仿宋" w:cs="仿宋"/>
          <w:sz w:val="32"/>
          <w:szCs w:val="32"/>
          <w:shd w:val="clear" w:color="auto" w:fill="FFFFFF"/>
        </w:rPr>
        <w:t>条作出决定。</w:t>
      </w:r>
      <w:r>
        <w:rPr>
          <w:rFonts w:hint="eastAsia" w:ascii="仿宋" w:hAnsi="仿宋" w:eastAsia="仿宋" w:cs="仿宋"/>
          <w:sz w:val="32"/>
          <w:szCs w:val="32"/>
        </w:rPr>
        <w:t>但是，告知前已经行政执法机关负责人集体讨论的案件，</w:t>
      </w:r>
      <w:r>
        <w:rPr>
          <w:rFonts w:hint="eastAsia" w:ascii="仿宋" w:hAnsi="仿宋" w:eastAsia="仿宋" w:cs="仿宋"/>
          <w:sz w:val="32"/>
          <w:szCs w:val="32"/>
          <w:shd w:val="clear" w:color="auto" w:fill="FFFFFF"/>
        </w:rPr>
        <w:t>应当再次经</w:t>
      </w:r>
      <w:r>
        <w:rPr>
          <w:rFonts w:hint="eastAsia" w:ascii="仿宋" w:hAnsi="仿宋" w:eastAsia="仿宋" w:cs="仿宋"/>
          <w:sz w:val="32"/>
          <w:szCs w:val="32"/>
        </w:rPr>
        <w:t>行政执法机关负责人集体讨论决定。</w:t>
      </w:r>
    </w:p>
    <w:p>
      <w:pPr>
        <w:spacing w:line="560" w:lineRule="exact"/>
        <w:ind w:firstLine="640" w:firstLineChars="200"/>
        <w:jc w:val="center"/>
        <w:rPr>
          <w:rFonts w:ascii="仿宋_GB2312" w:eastAsia="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五</w:t>
      </w:r>
      <w:r>
        <w:rPr>
          <w:rFonts w:hint="eastAsia" w:ascii="黑体" w:hAnsi="黑体" w:eastAsia="黑体" w:cs="黑体"/>
          <w:bCs/>
          <w:sz w:val="32"/>
          <w:szCs w:val="32"/>
        </w:rPr>
        <w:t>节　送达</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第三十四条</w:t>
      </w:r>
      <w:r>
        <w:rPr>
          <w:rFonts w:hint="eastAsia" w:ascii="仿宋_GB2312" w:eastAsia="仿宋_GB2312"/>
          <w:sz w:val="32"/>
          <w:szCs w:val="32"/>
        </w:rPr>
        <w:t>　</w:t>
      </w:r>
      <w:r>
        <w:rPr>
          <w:rFonts w:hint="eastAsia" w:ascii="仿宋" w:hAnsi="仿宋" w:eastAsia="仿宋" w:cs="仿宋"/>
          <w:sz w:val="32"/>
          <w:szCs w:val="32"/>
        </w:rPr>
        <w:t>送达行政执法文书必须有送达回证，由受送达人在送达回证上记明收到日期，签名或者盖章。受送达人在送达回证上的签收日期为送达日期。</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第三十五条</w:t>
      </w:r>
      <w:r>
        <w:rPr>
          <w:rFonts w:hint="eastAsia" w:ascii="仿宋_GB2312" w:eastAsia="仿宋_GB2312"/>
          <w:sz w:val="32"/>
          <w:szCs w:val="32"/>
        </w:rPr>
        <w:t>　</w:t>
      </w:r>
      <w:r>
        <w:rPr>
          <w:rFonts w:hint="eastAsia" w:ascii="仿宋" w:hAnsi="仿宋" w:eastAsia="仿宋" w:cs="仿宋"/>
          <w:sz w:val="32"/>
          <w:szCs w:val="32"/>
        </w:rPr>
        <w:t>送达当事人的行政执法文书，应当直接送交受送达人。其中，《行政处罚决定书》应当在7日内依照《中华人民共和国民事诉讼法》的有关规定送达受送达人。受送达人是公民的，本人不在的交受送达人的同住成年家属签收；受送达人是法人或者其他组织的，应当由法人的法定代表人、其他组织的主要负责人或者该法人、组织负责收件的人签收；受送达人有委托代理人的，可以送交其代理人签收；受送达人已向行政执法机关指定代收人的，送交代收人签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受送达人的同住成年家属，法人或者其他组织的负责收件的人，委托代理人或者代收人在送达回证上签收的日期为送达日期。</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第三十六条</w:t>
      </w:r>
      <w:r>
        <w:rPr>
          <w:rFonts w:hint="eastAsia" w:ascii="仿宋_GB2312" w:eastAsia="仿宋_GB2312"/>
          <w:sz w:val="32"/>
          <w:szCs w:val="32"/>
        </w:rPr>
        <w:t>　</w:t>
      </w:r>
      <w:r>
        <w:rPr>
          <w:rFonts w:hint="eastAsia" w:ascii="仿宋" w:hAnsi="仿宋" w:eastAsia="仿宋" w:cs="仿宋"/>
          <w:sz w:val="32"/>
          <w:szCs w:val="32"/>
        </w:rPr>
        <w:t>受送达人或者受送达人的同住成年家属拒绝接收执法文书的，送达人应当邀请有关基层组织或者所在单位的代表到场，说明情况，在送达回证上记明拒收事由和日期，由送达人、见证人签名或者盖章，把行政执法文书留在受送达人的住所；也可以把行政执法文书留在受送达人的住所，并采用拍照、录像等方式记录送达过程，即视为送达。</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第三十七条</w:t>
      </w:r>
      <w:r>
        <w:rPr>
          <w:rFonts w:hint="eastAsia" w:ascii="仿宋_GB2312" w:eastAsia="仿宋_GB2312"/>
          <w:sz w:val="32"/>
          <w:szCs w:val="32"/>
        </w:rPr>
        <w:t>　</w:t>
      </w:r>
      <w:r>
        <w:rPr>
          <w:rFonts w:hint="eastAsia" w:ascii="仿宋" w:hAnsi="仿宋" w:eastAsia="仿宋" w:cs="仿宋"/>
          <w:sz w:val="32"/>
          <w:szCs w:val="32"/>
        </w:rPr>
        <w:t>直接送达行政执法文书有困难的，可以依据民事诉讼法的有关规定使用委托送达、邮寄送达、转交送达和公告送达的方式送达。邮寄送达的，以回执上注明的收件日期为送达日期；公告送达自发出公告之日起，经过30日，即视为送达。公告送达，应当在案卷中记明原因和经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w:t>
      </w:r>
    </w:p>
    <w:p>
      <w:pPr>
        <w:spacing w:line="560" w:lineRule="exact"/>
        <w:ind w:firstLine="0" w:firstLineChars="0"/>
        <w:jc w:val="center"/>
        <w:rPr>
          <w:rFonts w:ascii="黑体" w:hAnsi="黑体" w:eastAsia="黑体" w:cs="黑体"/>
          <w:bCs/>
          <w:sz w:val="32"/>
          <w:szCs w:val="32"/>
        </w:rPr>
      </w:pPr>
      <w:r>
        <w:rPr>
          <w:rFonts w:hint="eastAsia" w:ascii="黑体" w:hAnsi="黑体" w:eastAsia="黑体" w:cs="黑体"/>
          <w:bCs/>
          <w:sz w:val="32"/>
          <w:szCs w:val="32"/>
        </w:rPr>
        <w:t>第五章　执行与结案处理</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第三十八条</w:t>
      </w:r>
      <w:r>
        <w:rPr>
          <w:rFonts w:hint="eastAsia" w:ascii="仿宋_GB2312" w:eastAsia="仿宋_GB2312"/>
          <w:sz w:val="32"/>
          <w:szCs w:val="32"/>
        </w:rPr>
        <w:t>　</w:t>
      </w:r>
      <w:r>
        <w:rPr>
          <w:rFonts w:hint="eastAsia" w:ascii="仿宋" w:hAnsi="仿宋" w:eastAsia="仿宋" w:cs="仿宋"/>
          <w:sz w:val="32"/>
          <w:szCs w:val="32"/>
        </w:rPr>
        <w:t>行政机关决定行政罚款的案件，行政执法人员应将《行政处罚决定书》与《行政处罚缴款书》一同送达当事人。</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第三十九条</w:t>
      </w:r>
      <w:r>
        <w:rPr>
          <w:rFonts w:hint="eastAsia" w:ascii="仿宋_GB2312" w:eastAsia="仿宋_GB2312"/>
          <w:sz w:val="32"/>
          <w:szCs w:val="32"/>
        </w:rPr>
        <w:t>　</w:t>
      </w:r>
      <w:r>
        <w:rPr>
          <w:rFonts w:hint="eastAsia" w:ascii="仿宋" w:hAnsi="仿宋" w:eastAsia="仿宋" w:cs="仿宋"/>
          <w:sz w:val="32"/>
          <w:szCs w:val="32"/>
        </w:rPr>
        <w:t>当事人应当自收到《行政处罚决定书》之日起15日内，到指定的银行或者通过电子支付系统缴纳罚款。</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行政机关及行政执法人员，除当场作出行政处罚100元以下、不当场收缴事后难以执行的或在边远、水上、交通不便地区，当事人到指定的银行或者通过电子支付系统缴纳罚款有困难，经当事人提出，行政机关及其执法人员可以当场收缴罚款之外，不得自行收缴罚款。</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第四十条</w:t>
      </w:r>
      <w:r>
        <w:rPr>
          <w:rFonts w:hint="eastAsia" w:ascii="仿宋_GB2312" w:eastAsia="仿宋_GB2312"/>
          <w:sz w:val="32"/>
          <w:szCs w:val="32"/>
        </w:rPr>
        <w:t>　</w:t>
      </w:r>
      <w:r>
        <w:rPr>
          <w:rFonts w:hint="eastAsia" w:ascii="仿宋" w:hAnsi="仿宋" w:eastAsia="仿宋" w:cs="仿宋"/>
          <w:sz w:val="32"/>
          <w:szCs w:val="32"/>
        </w:rPr>
        <w:t>当事人逾期不履行处罚决定的，作出处罚决定的行政机关可以依法每日按罚款数额的3%加处罚款，加处罚款的标准应当告知当事人，加处罚款的数额不得超出罚款的数额。</w:t>
      </w:r>
    </w:p>
    <w:p>
      <w:pPr>
        <w:spacing w:line="560" w:lineRule="exact"/>
        <w:ind w:firstLine="640" w:firstLineChars="200"/>
        <w:rPr>
          <w:rFonts w:ascii="仿宋_GB2312" w:eastAsia="仿宋_GB2312"/>
          <w:sz w:val="32"/>
          <w:szCs w:val="32"/>
          <w:highlight w:val="none"/>
        </w:rPr>
      </w:pPr>
      <w:r>
        <w:rPr>
          <w:rFonts w:hint="eastAsia" w:ascii="黑体" w:hAnsi="黑体" w:eastAsia="黑体" w:cs="黑体"/>
          <w:bCs/>
          <w:sz w:val="32"/>
          <w:szCs w:val="32"/>
          <w:highlight w:val="none"/>
        </w:rPr>
        <w:t>第四十一条</w:t>
      </w:r>
      <w:r>
        <w:rPr>
          <w:rFonts w:hint="eastAsia" w:ascii="仿宋_GB2312" w:eastAsia="仿宋_GB2312"/>
          <w:sz w:val="32"/>
          <w:szCs w:val="32"/>
          <w:highlight w:val="none"/>
        </w:rPr>
        <w:t>　行政机关依照本规定第四十条规定实施加处罚款超过30日，经催告当事人仍不履行的，没有行政强制执行权的行政机关应当申请人民法院强制执行。</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第四十二条</w:t>
      </w:r>
      <w:r>
        <w:rPr>
          <w:rFonts w:hint="eastAsia" w:ascii="仿宋_GB2312" w:eastAsia="仿宋_GB2312"/>
          <w:sz w:val="32"/>
          <w:szCs w:val="32"/>
        </w:rPr>
        <w:t>　</w:t>
      </w:r>
      <w:r>
        <w:rPr>
          <w:rFonts w:hint="eastAsia" w:ascii="仿宋" w:hAnsi="仿宋" w:eastAsia="仿宋" w:cs="仿宋"/>
          <w:sz w:val="32"/>
          <w:szCs w:val="32"/>
        </w:rPr>
        <w:t>当事人确有经济困难，需要延期或分期缴纳罚款的，经当事人提出申请，行政执法人员填写《延期</w:t>
      </w:r>
      <w:r>
        <w:rPr>
          <w:rFonts w:hint="eastAsia" w:ascii="仿宋" w:hAnsi="仿宋" w:eastAsia="仿宋" w:cs="仿宋"/>
          <w:sz w:val="32"/>
          <w:szCs w:val="32"/>
          <w:lang w:eastAsia="zh-CN"/>
        </w:rPr>
        <w:t>（</w:t>
      </w:r>
      <w:r>
        <w:rPr>
          <w:rFonts w:hint="eastAsia" w:ascii="仿宋" w:hAnsi="仿宋" w:eastAsia="仿宋" w:cs="仿宋"/>
          <w:sz w:val="32"/>
          <w:szCs w:val="32"/>
        </w:rPr>
        <w:t>分期</w:t>
      </w:r>
      <w:r>
        <w:rPr>
          <w:rFonts w:hint="eastAsia" w:ascii="仿宋" w:hAnsi="仿宋" w:eastAsia="仿宋" w:cs="仿宋"/>
          <w:sz w:val="32"/>
          <w:szCs w:val="32"/>
          <w:lang w:eastAsia="zh-CN"/>
        </w:rPr>
        <w:t>）</w:t>
      </w:r>
      <w:r>
        <w:rPr>
          <w:rFonts w:hint="eastAsia" w:ascii="仿宋" w:hAnsi="仿宋" w:eastAsia="仿宋" w:cs="仿宋"/>
          <w:sz w:val="32"/>
          <w:szCs w:val="32"/>
        </w:rPr>
        <w:t>缴纳罚款审批表》报主管领导批准后，可以延期或分期缴纳。</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第四十三条</w:t>
      </w:r>
      <w:r>
        <w:rPr>
          <w:rFonts w:hint="eastAsia" w:ascii="仿宋_GB2312" w:eastAsia="仿宋_GB2312"/>
          <w:sz w:val="32"/>
          <w:szCs w:val="32"/>
        </w:rPr>
        <w:t>　</w:t>
      </w:r>
      <w:r>
        <w:rPr>
          <w:rFonts w:hint="eastAsia" w:ascii="仿宋" w:hAnsi="仿宋" w:eastAsia="仿宋" w:cs="仿宋"/>
          <w:sz w:val="32"/>
          <w:szCs w:val="32"/>
        </w:rPr>
        <w:t>当事人或委托代理人对行政处罚决定不服，可自接到行政处罚决定书后60日内申请行政复议或在6个月内直接提起行政诉讼，在此期间，行政处罚不停止执行，法律另有规定的除外。。</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第四十四条</w:t>
      </w:r>
      <w:r>
        <w:rPr>
          <w:rFonts w:hint="eastAsia" w:ascii="仿宋_GB2312" w:eastAsia="仿宋_GB2312"/>
          <w:sz w:val="32"/>
          <w:szCs w:val="32"/>
        </w:rPr>
        <w:t>　</w:t>
      </w:r>
      <w:r>
        <w:rPr>
          <w:rFonts w:hint="eastAsia" w:ascii="仿宋" w:hAnsi="仿宋" w:eastAsia="仿宋" w:cs="仿宋"/>
          <w:sz w:val="32"/>
          <w:szCs w:val="32"/>
        </w:rPr>
        <w:t>当事人在法定期限内不申请行政复议或者提起行政诉讼，又不履行处罚决定的，行政机关可以自期限届满之日起3个月内，向所在地有管辖权的人民法院申请强制执行。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行政机关申请人民法院强制执行前，应当催告当事人履行义务，《催告书》送达10日后当事人仍未履行义务的，行政机关可以向所在地有管辖权的人民法院申请强制执行。</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第四十五条</w:t>
      </w:r>
      <w:r>
        <w:rPr>
          <w:rFonts w:hint="eastAsia" w:ascii="仿宋_GB2312" w:eastAsia="仿宋_GB2312"/>
          <w:sz w:val="32"/>
          <w:szCs w:val="32"/>
        </w:rPr>
        <w:t>　</w:t>
      </w:r>
      <w:r>
        <w:rPr>
          <w:rFonts w:hint="eastAsia" w:ascii="仿宋" w:hAnsi="仿宋" w:eastAsia="仿宋" w:cs="仿宋"/>
          <w:sz w:val="32"/>
          <w:szCs w:val="32"/>
        </w:rPr>
        <w:t>行政机关申请强制执行时，行政执法人员应当填写《行政强制执行审批表》，送法制机构审核后报主管领导批准。对批准申请强制执行的案件，行政执法人员应当向人民法院提供下列材料：</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（一）强制执行申请书；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（二）行政决定书及作出决定的事实、理由和依据；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（三）当事人的意见及行政机关催告情况；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（四）申请强制执行标的情况；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（五）法律、行政法规规定的其他材料。</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强制执行申请书应当有行政机关负责人的签名，加盖行政机关的印章，并注明日期。</w:t>
      </w:r>
    </w:p>
    <w:p>
      <w:pPr>
        <w:spacing w:line="560" w:lineRule="exact"/>
        <w:ind w:firstLine="640" w:firstLineChars="200"/>
        <w:rPr>
          <w:rFonts w:ascii="仿宋_GB2312" w:eastAsia="仿宋_GB2312"/>
          <w:sz w:val="32"/>
          <w:szCs w:val="32"/>
        </w:rPr>
      </w:pPr>
      <w:r>
        <w:rPr>
          <w:rFonts w:hint="eastAsia" w:ascii="黑体" w:hAnsi="黑体" w:eastAsia="黑体" w:cs="黑体"/>
          <w:bCs/>
          <w:sz w:val="32"/>
          <w:szCs w:val="32"/>
        </w:rPr>
        <w:t>第四十六条</w:t>
      </w:r>
      <w:r>
        <w:rPr>
          <w:rFonts w:hint="eastAsia" w:ascii="仿宋_GB2312" w:eastAsia="仿宋_GB2312"/>
          <w:sz w:val="32"/>
          <w:szCs w:val="32"/>
        </w:rPr>
        <w:t>　</w:t>
      </w:r>
      <w:r>
        <w:rPr>
          <w:rFonts w:hint="eastAsia" w:ascii="仿宋" w:hAnsi="仿宋" w:eastAsia="仿宋" w:cs="仿宋"/>
          <w:sz w:val="32"/>
          <w:szCs w:val="32"/>
        </w:rPr>
        <w:t>行政处罚决定履行或执行后，根据违法行为的改正情况，行政执法人员应当填写《结案审批表》，报主管领导审批后结案。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w:t>
      </w:r>
    </w:p>
    <w:p>
      <w:pPr>
        <w:spacing w:line="560" w:lineRule="exact"/>
        <w:ind w:firstLine="0" w:firstLineChars="0"/>
        <w:jc w:val="center"/>
        <w:rPr>
          <w:rFonts w:ascii="黑体" w:hAnsi="黑体" w:eastAsia="黑体" w:cs="黑体"/>
          <w:bCs/>
          <w:sz w:val="32"/>
          <w:szCs w:val="32"/>
        </w:rPr>
      </w:pPr>
      <w:r>
        <w:rPr>
          <w:rFonts w:hint="eastAsia" w:ascii="黑体" w:hAnsi="黑体" w:eastAsia="黑体" w:cs="黑体"/>
          <w:bCs/>
          <w:sz w:val="32"/>
          <w:szCs w:val="32"/>
        </w:rPr>
        <w:t>第六章　立卷与归档</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第四十七条</w:t>
      </w:r>
      <w:r>
        <w:rPr>
          <w:rFonts w:hint="eastAsia" w:ascii="仿宋_GB2312" w:eastAsia="仿宋_GB2312"/>
          <w:sz w:val="32"/>
          <w:szCs w:val="32"/>
        </w:rPr>
        <w:t>　</w:t>
      </w:r>
      <w:r>
        <w:rPr>
          <w:rFonts w:hint="eastAsia" w:ascii="仿宋" w:hAnsi="仿宋" w:eastAsia="仿宋" w:cs="仿宋"/>
          <w:sz w:val="32"/>
          <w:szCs w:val="32"/>
        </w:rPr>
        <w:t>自受理之日起，案件承办人员应当及时收集整理有关文书材料，做好立卷归档准备工作。</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第四十八条</w:t>
      </w:r>
      <w:r>
        <w:rPr>
          <w:rFonts w:hint="eastAsia" w:ascii="仿宋_GB2312" w:eastAsia="仿宋_GB2312"/>
          <w:sz w:val="32"/>
          <w:szCs w:val="32"/>
        </w:rPr>
        <w:t>　</w:t>
      </w:r>
      <w:r>
        <w:rPr>
          <w:rFonts w:hint="eastAsia" w:ascii="仿宋" w:hAnsi="仿宋" w:eastAsia="仿宋" w:cs="仿宋"/>
          <w:sz w:val="32"/>
          <w:szCs w:val="32"/>
        </w:rPr>
        <w:t>行政机关对执行完毕的案件，应当及时将文书材料归档。其中，按照一般程序进行行政处罚的案件应当在结案后30日内将案件材料立卷归档；按照简易程序进行行政处罚的案件应当在15日内将案件材料立卷归档。当事人在法定时限内申请行政复议或者提起行政诉讼的，也应当在行政复议决定或诉讼裁定、判决执行完毕后的30日内将案件材料立卷归档。</w:t>
      </w:r>
    </w:p>
    <w:p>
      <w:pPr>
        <w:spacing w:line="560" w:lineRule="exact"/>
        <w:ind w:firstLine="640" w:firstLineChars="200"/>
        <w:rPr>
          <w:rFonts w:ascii="仿宋_GB2312" w:eastAsia="仿宋_GB2312"/>
          <w:sz w:val="32"/>
          <w:szCs w:val="32"/>
        </w:rPr>
      </w:pPr>
    </w:p>
    <w:p>
      <w:pPr>
        <w:spacing w:line="560" w:lineRule="exact"/>
        <w:ind w:left="0" w:firstLine="0" w:firstLineChars="0"/>
        <w:jc w:val="center"/>
        <w:rPr>
          <w:rFonts w:ascii="仿宋_GB2312" w:eastAsia="仿宋_GB2312"/>
          <w:sz w:val="32"/>
          <w:szCs w:val="32"/>
        </w:rPr>
      </w:pPr>
      <w:r>
        <w:rPr>
          <w:rFonts w:hint="eastAsia" w:ascii="黑体" w:hAnsi="黑体" w:eastAsia="黑体"/>
          <w:sz w:val="32"/>
          <w:szCs w:val="32"/>
        </w:rPr>
        <w:t xml:space="preserve">第七章  附  </w:t>
      </w:r>
      <w:r>
        <w:rPr>
          <w:rFonts w:hint="eastAsia" w:eastAsia="黑体"/>
          <w:sz w:val="32"/>
          <w:szCs w:val="32"/>
        </w:rPr>
        <w:t> </w:t>
      </w:r>
      <w:r>
        <w:rPr>
          <w:rFonts w:hint="eastAsia" w:ascii="黑体" w:hAnsi="黑体" w:eastAsia="黑体"/>
          <w:sz w:val="32"/>
          <w:szCs w:val="32"/>
        </w:rPr>
        <w:t>则</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第四十九条</w:t>
      </w:r>
      <w:r>
        <w:rPr>
          <w:rFonts w:hint="eastAsia" w:ascii="仿宋_GB2312" w:eastAsia="仿宋_GB2312"/>
          <w:sz w:val="32"/>
          <w:szCs w:val="32"/>
        </w:rPr>
        <w:t>　</w:t>
      </w:r>
      <w:r>
        <w:rPr>
          <w:rFonts w:hint="eastAsia" w:ascii="仿宋" w:hAnsi="仿宋" w:eastAsia="仿宋" w:cs="仿宋"/>
          <w:sz w:val="32"/>
          <w:szCs w:val="32"/>
        </w:rPr>
        <w:t>本规定所指日期均不包括期间开始之日，也不包括在途时间。期间届满的最后一日为法定节假日的，以该法定节假日后的第一日为期间届满之日。</w:t>
      </w:r>
    </w:p>
    <w:p>
      <w:pPr>
        <w:spacing w:line="560" w:lineRule="exact"/>
        <w:ind w:firstLine="640" w:firstLineChars="200"/>
        <w:rPr>
          <w:rFonts w:ascii="仿宋_GB2312" w:eastAsia="仿宋_GB2312"/>
          <w:sz w:val="32"/>
          <w:szCs w:val="32"/>
        </w:rPr>
      </w:pPr>
      <w:r>
        <w:rPr>
          <w:rFonts w:hint="eastAsia" w:ascii="黑体" w:hAnsi="黑体" w:eastAsia="黑体" w:cs="黑体"/>
          <w:bCs/>
          <w:sz w:val="32"/>
          <w:szCs w:val="32"/>
        </w:rPr>
        <w:t>第五十条</w:t>
      </w:r>
      <w:r>
        <w:rPr>
          <w:rFonts w:hint="eastAsia" w:ascii="仿宋_GB2312" w:eastAsia="仿宋_GB2312"/>
          <w:sz w:val="32"/>
          <w:szCs w:val="32"/>
        </w:rPr>
        <w:t>　</w:t>
      </w:r>
      <w:r>
        <w:rPr>
          <w:rFonts w:hint="eastAsia" w:ascii="仿宋" w:hAnsi="仿宋" w:eastAsia="仿宋" w:cs="仿宋"/>
          <w:sz w:val="32"/>
          <w:szCs w:val="32"/>
        </w:rPr>
        <w:t>本规定所称“以上”、“以内”均包含本数。</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第五十一条</w:t>
      </w:r>
      <w:r>
        <w:rPr>
          <w:rFonts w:hint="eastAsia" w:ascii="仿宋_GB2312" w:eastAsia="仿宋_GB2312"/>
          <w:sz w:val="32"/>
          <w:szCs w:val="32"/>
        </w:rPr>
        <w:t>　</w:t>
      </w:r>
      <w:r>
        <w:rPr>
          <w:rFonts w:hint="eastAsia" w:ascii="仿宋" w:hAnsi="仿宋" w:eastAsia="仿宋" w:cs="仿宋"/>
          <w:sz w:val="32"/>
          <w:szCs w:val="32"/>
        </w:rPr>
        <w:t>本规定与厦门市相关法律法规不一致的，以厦门市有关法律法规的规定为准。</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第五十二条</w:t>
      </w:r>
      <w:r>
        <w:rPr>
          <w:rFonts w:hint="eastAsia" w:ascii="仿宋_GB2312" w:eastAsia="仿宋_GB2312"/>
          <w:sz w:val="32"/>
          <w:szCs w:val="32"/>
        </w:rPr>
        <w:t>　</w:t>
      </w:r>
      <w:r>
        <w:rPr>
          <w:rFonts w:hint="eastAsia" w:ascii="仿宋" w:hAnsi="仿宋" w:eastAsia="仿宋" w:cs="仿宋"/>
          <w:sz w:val="32"/>
          <w:szCs w:val="32"/>
        </w:rPr>
        <w:t>本规定由市国动办负责解释，自发布之日起30日后施行，</w:t>
      </w:r>
      <w:r>
        <w:rPr>
          <w:rFonts w:hint="eastAsia" w:ascii="仿宋" w:hAnsi="仿宋" w:eastAsia="仿宋" w:cs="仿宋"/>
          <w:sz w:val="32"/>
          <w:szCs w:val="32"/>
          <w:lang w:eastAsia="zh-CN"/>
        </w:rPr>
        <w:t>有效期</w:t>
      </w:r>
      <w:r>
        <w:rPr>
          <w:rFonts w:hint="eastAsia" w:ascii="仿宋" w:hAnsi="仿宋" w:eastAsia="仿宋" w:cs="仿宋"/>
          <w:sz w:val="32"/>
          <w:szCs w:val="32"/>
          <w:lang w:val="en-US" w:eastAsia="zh-CN"/>
        </w:rPr>
        <w:t>5年</w:t>
      </w:r>
      <w:r>
        <w:rPr>
          <w:rFonts w:hint="eastAsia" w:ascii="仿宋" w:hAnsi="仿宋" w:eastAsia="仿宋" w:cs="仿宋"/>
          <w:sz w:val="32"/>
          <w:szCs w:val="32"/>
        </w:rPr>
        <w:t>。</w:t>
      </w:r>
    </w:p>
    <w:p>
      <w:pPr>
        <w:spacing w:line="560" w:lineRule="exact"/>
        <w:ind w:firstLine="0" w:firstLineChars="0"/>
        <w:rPr>
          <w:rFonts w:hint="eastAsia" w:ascii="仿宋" w:hAnsi="仿宋" w:eastAsia="仿宋" w:cs="仿宋"/>
          <w:sz w:val="32"/>
          <w:szCs w:val="32"/>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EDD82"/>
    <w:multiLevelType w:val="singleLevel"/>
    <w:tmpl w:val="3FCEDD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ZGUxZTlmNDM3YTg3NTRjZGNkMTM4YzI4NTFmNmYifQ=="/>
  </w:docVars>
  <w:rsids>
    <w:rsidRoot w:val="6FD532CF"/>
    <w:rsid w:val="000E6D1D"/>
    <w:rsid w:val="00112878"/>
    <w:rsid w:val="00137072"/>
    <w:rsid w:val="001C4BE5"/>
    <w:rsid w:val="00206B2B"/>
    <w:rsid w:val="002978AE"/>
    <w:rsid w:val="002B531E"/>
    <w:rsid w:val="00347767"/>
    <w:rsid w:val="003914E0"/>
    <w:rsid w:val="00403A50"/>
    <w:rsid w:val="00422828"/>
    <w:rsid w:val="00502119"/>
    <w:rsid w:val="00547E3F"/>
    <w:rsid w:val="0056328E"/>
    <w:rsid w:val="00603DFB"/>
    <w:rsid w:val="00686D8A"/>
    <w:rsid w:val="00694855"/>
    <w:rsid w:val="006A2A5D"/>
    <w:rsid w:val="00732C91"/>
    <w:rsid w:val="008B5FE7"/>
    <w:rsid w:val="008C7514"/>
    <w:rsid w:val="0091251E"/>
    <w:rsid w:val="009858CD"/>
    <w:rsid w:val="009D5FA4"/>
    <w:rsid w:val="00B719AF"/>
    <w:rsid w:val="00B8679F"/>
    <w:rsid w:val="00D03D3C"/>
    <w:rsid w:val="00D905D9"/>
    <w:rsid w:val="00E17650"/>
    <w:rsid w:val="00E45E40"/>
    <w:rsid w:val="00EA5374"/>
    <w:rsid w:val="00ED215A"/>
    <w:rsid w:val="01A13AEF"/>
    <w:rsid w:val="01B446F6"/>
    <w:rsid w:val="01EC02B1"/>
    <w:rsid w:val="08C53BB5"/>
    <w:rsid w:val="093305F6"/>
    <w:rsid w:val="0FF74EA5"/>
    <w:rsid w:val="10F1501F"/>
    <w:rsid w:val="19894AFA"/>
    <w:rsid w:val="199D504B"/>
    <w:rsid w:val="1D0D31E0"/>
    <w:rsid w:val="1F5012FB"/>
    <w:rsid w:val="27960276"/>
    <w:rsid w:val="2C7F752B"/>
    <w:rsid w:val="2D1F1DEC"/>
    <w:rsid w:val="2D2B4E16"/>
    <w:rsid w:val="31C32EBE"/>
    <w:rsid w:val="34DC7002"/>
    <w:rsid w:val="361F4F2D"/>
    <w:rsid w:val="37733185"/>
    <w:rsid w:val="37865C2C"/>
    <w:rsid w:val="3AA056C2"/>
    <w:rsid w:val="3BD50F16"/>
    <w:rsid w:val="42A94EAA"/>
    <w:rsid w:val="47770EA4"/>
    <w:rsid w:val="49351245"/>
    <w:rsid w:val="4938055F"/>
    <w:rsid w:val="4BDFE6F4"/>
    <w:rsid w:val="4E54216E"/>
    <w:rsid w:val="545C7F8D"/>
    <w:rsid w:val="556FDAB4"/>
    <w:rsid w:val="57070746"/>
    <w:rsid w:val="5AEFADAB"/>
    <w:rsid w:val="5B486DE4"/>
    <w:rsid w:val="5DDF259A"/>
    <w:rsid w:val="5E2F7132"/>
    <w:rsid w:val="62407969"/>
    <w:rsid w:val="6747B603"/>
    <w:rsid w:val="6796351C"/>
    <w:rsid w:val="67FEBEDB"/>
    <w:rsid w:val="6912186A"/>
    <w:rsid w:val="6A986ED7"/>
    <w:rsid w:val="6D7F8B09"/>
    <w:rsid w:val="6EB9A2E7"/>
    <w:rsid w:val="6EE11354"/>
    <w:rsid w:val="6FD532CF"/>
    <w:rsid w:val="729D3834"/>
    <w:rsid w:val="73080B29"/>
    <w:rsid w:val="74EF63FA"/>
    <w:rsid w:val="75B8AB97"/>
    <w:rsid w:val="75FBE2DF"/>
    <w:rsid w:val="75FF3932"/>
    <w:rsid w:val="764BE395"/>
    <w:rsid w:val="77471F40"/>
    <w:rsid w:val="78482494"/>
    <w:rsid w:val="79FE2A1F"/>
    <w:rsid w:val="7A965738"/>
    <w:rsid w:val="7CFB29ED"/>
    <w:rsid w:val="7DCF00A4"/>
    <w:rsid w:val="7DE94511"/>
    <w:rsid w:val="7DFD8108"/>
    <w:rsid w:val="7EFD9AE7"/>
    <w:rsid w:val="7F579F43"/>
    <w:rsid w:val="7F5F1225"/>
    <w:rsid w:val="7F797532"/>
    <w:rsid w:val="7F91F80C"/>
    <w:rsid w:val="7FD35FE0"/>
    <w:rsid w:val="7FF3821F"/>
    <w:rsid w:val="7FF722D5"/>
    <w:rsid w:val="9AFB391D"/>
    <w:rsid w:val="9EC9BAF4"/>
    <w:rsid w:val="B4FD08D7"/>
    <w:rsid w:val="B633867E"/>
    <w:rsid w:val="BDFFC754"/>
    <w:rsid w:val="D1FB2723"/>
    <w:rsid w:val="D7E6EB64"/>
    <w:rsid w:val="D9FDF2A3"/>
    <w:rsid w:val="DA9FE540"/>
    <w:rsid w:val="DB559CAA"/>
    <w:rsid w:val="DF93F13F"/>
    <w:rsid w:val="DFFD4A3A"/>
    <w:rsid w:val="E37FD08E"/>
    <w:rsid w:val="E66B5058"/>
    <w:rsid w:val="EBB5A384"/>
    <w:rsid w:val="EEBF5958"/>
    <w:rsid w:val="EFFE7B3A"/>
    <w:rsid w:val="F3F32877"/>
    <w:rsid w:val="F7F7C606"/>
    <w:rsid w:val="FAFFE23D"/>
    <w:rsid w:val="FBF61C51"/>
    <w:rsid w:val="FD2E3EAB"/>
    <w:rsid w:val="FD754B36"/>
    <w:rsid w:val="FDEFBBE7"/>
    <w:rsid w:val="FDFE96F6"/>
    <w:rsid w:val="FE7D7688"/>
    <w:rsid w:val="FF3D79AD"/>
    <w:rsid w:val="FF7FA6E2"/>
    <w:rsid w:val="FFCE062A"/>
    <w:rsid w:val="FFF2EFEB"/>
    <w:rsid w:val="FFFF2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7293</Words>
  <Characters>7337</Characters>
  <Lines>52</Lines>
  <Paragraphs>14</Paragraphs>
  <TotalTime>85</TotalTime>
  <ScaleCrop>false</ScaleCrop>
  <LinksUpToDate>false</LinksUpToDate>
  <CharactersWithSpaces>7464</CharactersWithSpaces>
  <Application>WPS Office_11.8.2.9601_F1E327BC-269C-435d-A152-05C5408002CA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2023-05-30T15:25:00Z</dcterms:created>
  <dc:creator>薛焜</dc:creator>
  <cp:lastModifiedBy>薛焜</cp:lastModifiedBy>
  <cp:lastPrinted>2023-06-15T00:55:00Z</cp:lastPrinted>
  <dcterms:modified xsi:type="dcterms:W3CDTF">2023-08-22T15:09:03Z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2052-11.8.2.9601</vt:lpwstr>
  </property>
  <property fmtid="{D5CDD505-2E9C-101B-9397-08002B2CF9AE}" pid="3" name="ICV">
    <vt:lpwstr>3C40BF58EC454C889A3E3F5DD0D040F3_13</vt:lpwstr>
  </property>
</Properties>
</file>